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440101-2023-08904</w:t>
      </w:r>
    </w:p>
    <w:p>
      <w:pPr>
        <w:jc w:val="center"/>
      </w:pPr>
      <w:r>
        <w:rPr>
          <w:b/>
          <w:sz w:val="24"/>
        </w:rPr>
        <w:t>采购项目编号：</w:t>
      </w:r>
      <w:r>
        <w:rPr>
          <w:b/>
          <w:sz w:val="24"/>
        </w:rPr>
        <w:t>SJ2023GZZC0040</w:t>
      </w:r>
    </w:p>
    <w:p>
      <w:pPr>
        <w:jc w:val="center"/>
      </w:pPr>
      <w:r>
        <w:rPr>
          <w:b/>
          <w:sz w:val="24"/>
        </w:rPr>
        <w:t>项目名称：</w:t>
      </w:r>
      <w:r>
        <w:rPr>
          <w:b/>
          <w:sz w:val="24"/>
        </w:rPr>
        <w:t>基于完整居住社区的全生命周期科学治理体系研究</w:t>
      </w:r>
    </w:p>
    <w:p>
      <w:pPr>
        <w:jc w:val="center"/>
      </w:pPr>
      <w:r>
        <w:rPr>
          <w:b/>
          <w:sz w:val="24"/>
        </w:rPr>
        <w:t>采购人：</w:t>
      </w:r>
      <w:r>
        <w:rPr>
          <w:b/>
          <w:sz w:val="24"/>
        </w:rPr>
        <w:t>广州市住房和城乡建设局</w:t>
      </w:r>
    </w:p>
    <w:p>
      <w:pPr>
        <w:jc w:val="center"/>
      </w:pPr>
      <w:r>
        <w:rPr>
          <w:b/>
          <w:sz w:val="24"/>
        </w:rPr>
        <w:t>采购代理机构：</w:t>
      </w:r>
      <w:r>
        <w:rPr>
          <w:b/>
          <w:sz w:val="24"/>
        </w:rPr>
        <w:t>中量工程咨询有限公司</w:t>
      </w:r>
    </w:p>
    <w:p>
      <w:pPr>
        <w:ind w:firstLine="480"/>
      </w:pPr>
    </w:p>
    <w:p>
      <w:r>
        <w:rPr/>
        <w:t xml:space="preserve"> </w:t>
      </w:r>
    </w:p>
    <w:p/>
    <w:p>
      <w:pPr>
        <w:jc w:val="center"/>
      </w:pPr>
      <w:r>
        <w:rPr>
          <w:b/>
          <w:sz w:val="36"/>
        </w:rPr>
        <w:t>第一章投标邀请</w:t>
      </w:r>
    </w:p>
    <w:p>
      <w:pPr>
        <w:ind w:firstLine="480"/>
      </w:pPr>
      <w:r>
        <w:rPr/>
        <w:t>中量工程咨询有限公司</w:t>
      </w:r>
      <w:r>
        <w:rPr/>
        <w:t>受</w:t>
      </w:r>
      <w:r>
        <w:rPr/>
        <w:t>广州市住房和城乡建设局</w:t>
      </w:r>
      <w:r>
        <w:rPr/>
        <w:t>的委托，采用</w:t>
      </w:r>
      <w:r>
        <w:rPr/>
        <w:t>公开招标</w:t>
      </w:r>
      <w:r>
        <w:rPr/>
        <w:t>方式组织采购</w:t>
      </w:r>
      <w:r>
        <w:rPr/>
        <w:t>基于完整居住社区的全生命周期科学治理体系研究</w:t>
      </w:r>
      <w:r>
        <w:rPr/>
        <w:t>。欢迎符合资格条件的国内供应商参加投标。</w:t>
      </w:r>
    </w:p>
    <w:p>
      <w:r>
        <w:rPr>
          <w:b/>
          <w:sz w:val="28"/>
        </w:rPr>
        <w:t>一.项目概述</w:t>
      </w:r>
    </w:p>
    <w:p>
      <w:r>
        <w:rPr>
          <w:b/>
          <w:sz w:val="24"/>
        </w:rPr>
        <w:t>1.名称与编号</w:t>
      </w:r>
    </w:p>
    <w:p>
      <w:pPr>
        <w:ind w:firstLine="480"/>
      </w:pPr>
      <w:r>
        <w:rPr/>
        <w:t>项目名称：</w:t>
      </w:r>
      <w:r>
        <w:rPr/>
        <w:t>基于完整居住社区的全生命周期科学治理体系研究</w:t>
      </w:r>
    </w:p>
    <w:p>
      <w:pPr>
        <w:ind w:firstLine="480"/>
      </w:pPr>
      <w:r>
        <w:rPr/>
        <w:t>采购计划编号：</w:t>
      </w:r>
      <w:r>
        <w:rPr/>
        <w:t>440101-2023-08904</w:t>
      </w:r>
    </w:p>
    <w:p>
      <w:pPr>
        <w:ind w:firstLine="480"/>
      </w:pPr>
      <w:r>
        <w:rPr/>
        <w:t>采购项目编号：</w:t>
      </w:r>
      <w:r>
        <w:rPr/>
        <w:t>SJ2023GZZC0040</w:t>
      </w:r>
    </w:p>
    <w:p>
      <w:pPr>
        <w:ind w:firstLine="480"/>
      </w:pPr>
      <w:r>
        <w:rPr/>
        <w:t>采购方式：</w:t>
      </w:r>
      <w:r>
        <w:rPr/>
        <w:t>公开招标</w:t>
      </w:r>
    </w:p>
    <w:p>
      <w:pPr>
        <w:ind w:firstLine="480"/>
      </w:pPr>
      <w:r>
        <w:rPr/>
        <w:t>预算金额：</w:t>
      </w:r>
      <w:r>
        <w:rPr/>
        <w:t>1,489,500.00</w:t>
      </w:r>
      <w:r>
        <w:rPr/>
        <w:t>元</w:t>
      </w:r>
    </w:p>
    <w:p>
      <w:r>
        <w:rPr>
          <w:b/>
          <w:sz w:val="24"/>
        </w:rPr>
        <w:t>2.项目内容及需求情况（采购项目技术规格、参数及要求）</w:t>
      </w:r>
    </w:p>
    <w:p>
      <w:pPr>
        <w:ind w:firstLine="480"/>
      </w:pPr>
    </w:p>
    <w:p/>
    <w:p>
      <w:r>
        <w:rPr/>
        <w:t>采购包1(基于完整居住社区的全生命周期科学治理体系研究):</w:t>
      </w:r>
    </w:p>
    <w:p>
      <w:r>
        <w:rPr/>
        <w:t>采购包预算金额：1,489,500.00元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区域规划和设计服务</w:t>
            </w:r>
          </w:p>
        </w:tc>
        <w:tc>
          <w:tcPr>
            <w:tcW w:type="dxa" w:w="2136"/>
          </w:tcPr>
          <w:p>
            <w:r>
              <w:rPr/>
              <w:t>基于完整居住社区的全生命周期科学治理体系研究</w:t>
            </w:r>
          </w:p>
        </w:tc>
        <w:tc>
          <w:tcPr>
            <w:tcW w:type="dxa" w:w="1187"/>
          </w:tcPr>
          <w:p>
            <w:r>
              <w:rPr/>
              <w:t>1(项)</w:t>
            </w:r>
          </w:p>
        </w:tc>
        <w:tc>
          <w:tcPr>
            <w:tcW w:type="dxa" w:w="1187"/>
          </w:tcPr>
          <w:p>
            <w:r>
              <w:rPr/>
              <w:t>详见第二章</w:t>
            </w:r>
          </w:p>
        </w:tc>
        <w:tc>
          <w:tcPr>
            <w:tcW w:type="dxa" w:w="1187"/>
          </w:tcPr>
          <w:p>
            <w:r>
              <w:rPr/>
              <w:t>否</w:t>
            </w:r>
          </w:p>
        </w:tc>
      </w:tr>
    </w:tbl>
    <w:p/>
    <w:p>
      <w:r>
        <w:rPr/>
        <w:t>本采购包接受联合体投标</w:t>
      </w:r>
    </w:p>
    <w:p/>
    <w:p>
      <w:r>
        <w:rPr/>
        <w:t>合同履行期限：自合同签订之日起至2024年6月30日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 其规定。（分支机构投标，须取得具有法人资格的总公司（总所）出具给分支机构的授权书，并 提供总公司（总所）和分支机构的营业执照（执业许可证）复印件。已由总公司（总所）授权的 ，总公司（总所）取得的相关资质证书对分支机构有效，法律法规或者行业另有规定的除外。）【如是联合体形式参加采购活动的，各方均须提供证明材料并加盖其单位公章】</w:t>
      </w:r>
    </w:p>
    <w:p/>
    <w:p>
      <w:r>
        <w:rPr/>
        <w:t>2）有依法缴纳税收和社会保障资金的良好记录：按格式要求签署《投标人资格声明函》。【如是联合体形式参加采购活动的，各方均须提供证明材料并加盖其单位公章】</w:t>
      </w:r>
    </w:p>
    <w:p/>
    <w:p>
      <w:r>
        <w:rPr/>
        <w:t>3）具有良好的商业信誉和健全的财务会计制度：按格式要求签署《投标人资格声明函》。【如是联合体形式参加采购活动的，各方均须提供证明材料并加盖其单位公章】</w:t>
      </w:r>
    </w:p>
    <w:p/>
    <w:p>
      <w:r>
        <w:rPr/>
        <w:t>4）履行合同所必需的设备和专业技术能力：按格式要求签署《投标人资格声明函》。【如是联合体形式参加采购活动的，各方均须提供证明材料并加盖其单位公章】</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如是联合体形式参加采购活动的，各方均须提供证明材料并加盖其单位公章】</w:t>
      </w:r>
    </w:p>
    <w:p/>
    <w:p>
      <w:r>
        <w:rPr>
          <w:b/>
          <w:sz w:val="24"/>
        </w:rPr>
        <w:t>2.落实政府采购政策需满足的资格要求：</w:t>
      </w:r>
    </w:p>
    <w:p>
      <w:pPr>
        <w:ind w:firstLine="480"/>
      </w:pPr>
    </w:p>
    <w:p>
      <w:pPr>
        <w:jc w:val="left"/>
      </w:pPr>
    </w:p>
    <w:p>
      <w:r>
        <w:rPr/>
        <w:t>采购包1（基于完整居住社区的全生命周期科学治理体系研究）：</w:t>
      </w:r>
      <w:r>
        <w:rPr/>
        <w:t>无，本项目不属于专门面向中小企业采购的项目。</w:t>
      </w:r>
    </w:p>
    <w:p/>
    <w:p>
      <w:r>
        <w:rPr>
          <w:b/>
          <w:sz w:val="24"/>
        </w:rPr>
        <w:t>3.本项目特定的资格要求：</w:t>
      </w:r>
    </w:p>
    <w:p>
      <w:pPr>
        <w:ind w:firstLine="480"/>
      </w:pPr>
    </w:p>
    <w:p/>
    <w:p>
      <w:r>
        <w:rPr/>
        <w:t>采购包1（基于完整居住社区的全生命周期科学治理体系研究）：</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 构于投标（响应）截止时间当天在“信用中国”网站（www.creditchina.gov.cn）及中国政府采购网（http://www.ccgp.gov.cn/）查询结果为准，如相关失信记录已失效，供应商需提供相关证明资料）。如投标人为联合体的，联合体成员存在不良信用记录的，视同联合体存在不良信用记录。</w:t>
      </w:r>
    </w:p>
    <w:p/>
    <w:p>
      <w:r>
        <w:rPr/>
        <w:t>2)单位负责人为同一人或者存在直接控股、管理关系的不同供应商，不得同时参加本采购项目（或采购包）投标,共同组成联合体投标的除外。为本项目提供整体设计、规范编制或者项目管理、监理、检测等服务的供应商，不得再参与本项目投标。投标函相关承诺要求内容。【如是联合体形式参加采购活动的，各方均须提供证明材料并加盖其单位公章】</w:t>
      </w:r>
    </w:p>
    <w:p/>
    <w:p>
      <w:r>
        <w:rPr/>
        <w:t>3)投标人应具备城乡规划编制乙级或以上资质 （提供资质证书复印件）。根据《自然资源部办公厅关于深入推进城乡规划编制单位资质认定“放管服”改革的通知自然资办函〔2022〕450号》的要求,如属于2022年3月16日之后，提交申报城乡规划编制资质的，投标人须提供相关证明文件材料（包括但不限于证书复印件或资质批复或资质审核通过的证明材料复印件）。如投标人为联合体的，按照资质等级较低的投标人确定联合体资质等级。【如是联合体形式参加采购活动的，各方均须提供证明材料并加盖其单位公章】</w:t>
      </w:r>
    </w:p>
    <w:p/>
    <w:p>
      <w:r>
        <w:rPr/>
        <w:t>4)本项目接受联合体投标。（如以联合体形式参与投标，联合体成员总数最多不超过2家，且联合体各方不得再独立参加或者与其他供应商另外组成联合体参加本项目的投标。联合体成员必须各方共同签署《联合体共同投标协议书》，明确分工。）</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采购代理机构网站（http://www.zonleon.com/）</w:t>
      </w:r>
      <w:r>
        <w:rPr/>
        <w:t>。</w:t>
      </w:r>
    </w:p>
    <w:p>
      <w:r>
        <w:rPr>
          <w:b/>
          <w:sz w:val="28"/>
        </w:rPr>
        <w:t>六.本项目联系方式：</w:t>
      </w:r>
    </w:p>
    <w:p>
      <w:r>
        <w:rPr>
          <w:b/>
          <w:sz w:val="24"/>
        </w:rPr>
        <w:t>1.采购人信息</w:t>
      </w:r>
    </w:p>
    <w:p>
      <w:pPr>
        <w:ind w:firstLine="480"/>
      </w:pPr>
      <w:r>
        <w:rPr/>
        <w:t>名称：</w:t>
      </w:r>
      <w:r>
        <w:rPr/>
        <w:t>广州市住房和城乡建设局</w:t>
      </w:r>
    </w:p>
    <w:p>
      <w:pPr>
        <w:ind w:firstLine="480"/>
      </w:pPr>
      <w:r>
        <w:rPr/>
        <w:t>地址：</w:t>
      </w:r>
      <w:r>
        <w:rPr/>
        <w:t>广州市越秀区府前路1号3号楼</w:t>
      </w:r>
    </w:p>
    <w:p>
      <w:pPr>
        <w:ind w:firstLine="480"/>
      </w:pPr>
      <w:r>
        <w:rPr/>
        <w:t>联系方式：</w:t>
      </w:r>
      <w:r>
        <w:rPr/>
        <w:t>020-83124492</w:t>
      </w:r>
    </w:p>
    <w:p>
      <w:r>
        <w:rPr>
          <w:b/>
          <w:sz w:val="24"/>
        </w:rPr>
        <w:t>2.采购代理机构信息</w:t>
      </w:r>
    </w:p>
    <w:p>
      <w:pPr>
        <w:ind w:firstLine="480"/>
      </w:pPr>
      <w:r>
        <w:rPr/>
        <w:t>名称：</w:t>
      </w:r>
      <w:r>
        <w:rPr/>
        <w:t>中量工程咨询有限公司</w:t>
      </w:r>
    </w:p>
    <w:p>
      <w:pPr>
        <w:ind w:firstLine="480"/>
      </w:pPr>
      <w:r>
        <w:rPr/>
        <w:t>地址：</w:t>
      </w:r>
      <w:r>
        <w:rPr/>
        <w:t>广州市开发区科学大道181号科学城商业广场A4栋1308</w:t>
      </w:r>
    </w:p>
    <w:p>
      <w:pPr>
        <w:ind w:firstLine="480"/>
      </w:pPr>
      <w:r>
        <w:rPr/>
        <w:t>联系方式：</w:t>
      </w:r>
      <w:r>
        <w:rPr/>
        <w:t>020-82527972-669</w:t>
      </w:r>
    </w:p>
    <w:p>
      <w:r>
        <w:rPr>
          <w:b/>
          <w:sz w:val="24"/>
        </w:rPr>
        <w:t>3.项目联系方式</w:t>
      </w:r>
    </w:p>
    <w:p>
      <w:pPr>
        <w:ind w:firstLine="480"/>
      </w:pPr>
      <w:r>
        <w:rPr/>
        <w:t>项目联系人：</w:t>
      </w:r>
      <w:r>
        <w:rPr/>
        <w:t>张女士</w:t>
      </w:r>
    </w:p>
    <w:p>
      <w:pPr>
        <w:ind w:firstLine="480"/>
      </w:pPr>
      <w:r>
        <w:rPr/>
        <w:t>电话：</w:t>
      </w:r>
      <w:r>
        <w:rPr/>
        <w:t>020-82527972-669</w:t>
      </w:r>
    </w:p>
    <w:p>
      <w:r>
        <w:rPr>
          <w:b/>
          <w:sz w:val="24"/>
        </w:rPr>
        <w:t>4.技术支持联系方式</w:t>
      </w:r>
    </w:p>
    <w:p>
      <w:pPr>
        <w:ind w:firstLine="480"/>
      </w:pPr>
      <w:r>
        <w:rPr/>
        <w:t>云平台联系方式：020-88696588</w:t>
      </w:r>
    </w:p>
    <w:p>
      <w:r>
        <w:rPr/>
        <w:t>采购代理机构：</w:t>
      </w:r>
      <w:r>
        <w:rPr/>
        <w:t>中量工程咨询有限公司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（一）投标人须对本项目的采购标的进行整体投标，任何只对本项目采购标的其中一部分内容、数量进行的投标都被视为无效投标。</w:t>
      </w:r>
    </w:p>
    <w:p>
      <w:pPr>
        <w:jc w:val="both"/>
      </w:pPr>
      <w:r>
        <w:rPr>
          <w:sz w:val="21"/>
        </w:rPr>
        <w:t>（二）采购清单一览表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3169"/>
        <w:gridCol w:w="2657"/>
        <w:gridCol w:w="2491"/>
      </w:tblGrid>
      <w:tr>
        <w:tc>
          <w:tcPr>
            <w:tcW w:type="dxa" w:w="3169"/>
            <w:tcBorders>
              <w:top w:val="single" w:color="000000" w:sz="4"/>
              <w:left w:val="single" w:color="000000" w:sz="4"/>
              <w:bottom w:val="single" w:color="000000" w:sz="4"/>
              <w:right w:val="single" w:color="000000" w:sz="4"/>
            </w:tcBorders>
          </w:tcPr>
          <w:p>
            <w:pPr>
              <w:jc w:val="center"/>
            </w:pPr>
            <w:r>
              <w:rPr>
                <w:b/>
                <w:sz w:val="21"/>
              </w:rPr>
              <w:t>采购内容</w:t>
            </w:r>
          </w:p>
        </w:tc>
        <w:tc>
          <w:tcPr>
            <w:tcW w:type="dxa" w:w="2657"/>
            <w:tcBorders>
              <w:top w:val="single" w:color="000000" w:sz="4"/>
              <w:left w:val="none" w:color="000000" w:sz="4"/>
              <w:bottom w:val="single" w:color="000000" w:sz="4"/>
              <w:right w:val="single" w:color="000000" w:sz="4"/>
            </w:tcBorders>
          </w:tcPr>
          <w:p>
            <w:pPr>
              <w:jc w:val="center"/>
            </w:pPr>
            <w:r>
              <w:rPr>
                <w:b/>
                <w:sz w:val="21"/>
              </w:rPr>
              <w:t>最高限价</w:t>
            </w:r>
          </w:p>
          <w:p>
            <w:pPr>
              <w:jc w:val="center"/>
            </w:pPr>
            <w:r>
              <w:rPr>
                <w:b/>
                <w:sz w:val="21"/>
              </w:rPr>
              <w:t>（人民币元）</w:t>
            </w:r>
          </w:p>
        </w:tc>
        <w:tc>
          <w:tcPr>
            <w:tcW w:type="dxa" w:w="2491"/>
            <w:tcBorders>
              <w:top w:val="single" w:color="000000" w:sz="4"/>
              <w:left w:val="none" w:color="000000" w:sz="4"/>
              <w:bottom w:val="single" w:color="000000" w:sz="4"/>
              <w:right w:val="single" w:color="000000" w:sz="4"/>
            </w:tcBorders>
          </w:tcPr>
          <w:p>
            <w:pPr>
              <w:jc w:val="center"/>
            </w:pPr>
            <w:r>
              <w:rPr>
                <w:b/>
                <w:sz w:val="21"/>
              </w:rPr>
              <w:t>采购标的所属行业</w:t>
            </w:r>
          </w:p>
        </w:tc>
      </w:tr>
      <w:tr>
        <w:tc>
          <w:tcPr>
            <w:tcW w:type="dxa" w:w="3169"/>
            <w:tcBorders>
              <w:top w:val="none" w:color="000000" w:sz="4"/>
              <w:left w:val="single" w:color="000000" w:sz="4"/>
              <w:bottom w:val="single" w:color="000000" w:sz="4"/>
              <w:right w:val="single" w:color="000000" w:sz="4"/>
            </w:tcBorders>
          </w:tcPr>
          <w:p>
            <w:pPr>
              <w:jc w:val="center"/>
            </w:pPr>
            <w:r>
              <w:rPr>
                <w:sz w:val="21"/>
              </w:rPr>
              <w:t>基于完整居住社区的全生命周期科学治理体系研究</w:t>
            </w:r>
          </w:p>
        </w:tc>
        <w:tc>
          <w:tcPr>
            <w:tcW w:type="dxa" w:w="2657"/>
            <w:tcBorders>
              <w:top w:val="none" w:color="000000" w:sz="4"/>
              <w:left w:val="none" w:color="000000" w:sz="4"/>
              <w:bottom w:val="single" w:color="000000" w:sz="4"/>
              <w:right w:val="single" w:color="000000" w:sz="4"/>
            </w:tcBorders>
          </w:tcPr>
          <w:p>
            <w:pPr>
              <w:jc w:val="center"/>
            </w:pPr>
            <w:r>
              <w:rPr>
                <w:sz w:val="21"/>
              </w:rPr>
              <w:t>1,489,500.00</w:t>
            </w:r>
          </w:p>
        </w:tc>
        <w:tc>
          <w:tcPr>
            <w:tcW w:type="dxa" w:w="2491"/>
            <w:tcBorders>
              <w:top w:val="none" w:color="000000" w:sz="4"/>
              <w:left w:val="none" w:color="000000" w:sz="4"/>
              <w:bottom w:val="single" w:color="000000" w:sz="4"/>
              <w:right w:val="single" w:color="000000" w:sz="4"/>
            </w:tcBorders>
          </w:tcPr>
          <w:p>
            <w:pPr>
              <w:jc w:val="center"/>
            </w:pPr>
            <w:r>
              <w:rPr>
                <w:sz w:val="21"/>
              </w:rPr>
              <w:t>其他未列明行业</w:t>
            </w:r>
          </w:p>
        </w:tc>
      </w:tr>
    </w:tbl>
    <w:p>
      <w:pPr>
        <w:jc w:val="both"/>
      </w:pPr>
    </w:p>
    <w:p>
      <w:pPr>
        <w:jc w:val="both"/>
      </w:pPr>
      <w:r>
        <w:rPr>
          <w:sz w:val="21"/>
        </w:rPr>
        <w:t>（三）服务范围：根据市住建局文件的要求，利用数字化、智能化技术建设精准的全生命周期的完整居住社区科学治理与服务体系，为广州市11个区所有居住社区的完整社区补短板行动提供指引和方向，为广州市完整社区建设精细化提供指引。</w:t>
      </w:r>
    </w:p>
    <w:p>
      <w:pPr>
        <w:jc w:val="both"/>
      </w:pPr>
      <w:r>
        <w:rPr>
          <w:sz w:val="21"/>
        </w:rPr>
        <w:t>（四）服务要求：1、形成广州市完整社区现状一张图，搭建完整社区数据库。2、在广州市选取不少于1个新建居住社区和2个既有居住社区工作试点作为完整社区工作试点，制定试点申报方案和实施方案。</w:t>
      </w:r>
    </w:p>
    <w:p>
      <w:pPr>
        <w:jc w:val="both"/>
      </w:pPr>
      <w:r>
        <w:rPr>
          <w:sz w:val="21"/>
        </w:rPr>
        <w:t>（五）服务时间（履行期限）：自合同签订之日起至2024年6月30日。</w:t>
      </w:r>
    </w:p>
    <w:p>
      <w:pPr>
        <w:jc w:val="both"/>
      </w:pPr>
      <w:r>
        <w:rPr>
          <w:sz w:val="21"/>
        </w:rPr>
        <w:t>（六）服务标准：符合《中华人民共和国城乡规划法》、《广东省城乡规划条例》、《广州市城乡规划技术规定》、国家及行业现行标准及其他法规、规范要求。</w:t>
      </w:r>
    </w:p>
    <w:p/>
    <w:p>
      <w:pPr>
        <w:ind w:firstLine="480"/>
      </w:pPr>
    </w:p>
    <w:p/>
    <w:p>
      <w:r>
        <w:rPr/>
        <w:t>采购包1（基于完整居住社区的全生命周期科学治理体系研究）</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自合同签订之日起至2024年6月30日</w:t>
            </w:r>
          </w:p>
        </w:tc>
      </w:tr>
      <w:tr>
        <w:tc>
          <w:tcPr>
            <w:tcW w:type="dxa" w:w="4153"/>
          </w:tcPr>
          <w:p>
            <w:r>
              <w:rPr/>
              <w:t>标的提供的地点</w:t>
            </w:r>
          </w:p>
        </w:tc>
        <w:tc>
          <w:tcPr>
            <w:tcW w:type="dxa" w:w="4153"/>
          </w:tcPr>
          <w:p/>
          <w:p>
            <w:r>
              <w:rPr/>
              <w:t>广州市</w:t>
            </w:r>
          </w:p>
        </w:tc>
      </w:tr>
      <w:tr>
        <w:tc>
          <w:tcPr>
            <w:tcW w:type="dxa" w:w="4153"/>
          </w:tcPr>
          <w:p>
            <w:r>
              <w:rPr/>
              <w:t>付款方式</w:t>
            </w:r>
          </w:p>
        </w:tc>
        <w:tc>
          <w:tcPr>
            <w:tcW w:type="dxa" w:w="4153"/>
          </w:tcPr>
          <w:p/>
          <w:p/>
          <w:p>
            <w:r>
              <w:rPr/>
              <w:t>1期：支付比例30%,签订合同后，采购人在收到发票后5个工作日内办理支付手续，向中标人支付合同总价的30%。</w:t>
            </w:r>
          </w:p>
          <w:p/>
          <w:p>
            <w:r>
              <w:rPr/>
              <w:t>2期：支付比例50%,中标人提交第二阶段成果，经采购人业务处室审核确认，且采购人在收到发票后5个工作日内办理支付手续，向中标人支付合同总价的50%。</w:t>
            </w:r>
          </w:p>
          <w:p/>
          <w:p>
            <w:r>
              <w:rPr/>
              <w:t>3期：支付比例10%,中标人提交第三阶段成果，成果经采购人验收确认，且采购人在收到发票后5个工作日内办理支付手续，向中标人支付合同总价的10%。</w:t>
            </w:r>
          </w:p>
          <w:p/>
          <w:p>
            <w:r>
              <w:rPr/>
              <w:t>4期：支付比例10%,采购人组织结算审核，根据结算审核结果一次性向中标人付清结算尾款。当最终结算价低于合同价时，按结算价支付尾款；当结算价高于合同价时，则按合同价结算支付尾款。如采购人实际结算尾款的比例与本项描述的支付比例不一致的，以采购人实际结算尾款的比例为准。</w:t>
            </w:r>
          </w:p>
        </w:tc>
      </w:tr>
      <w:tr>
        <w:tc>
          <w:tcPr>
            <w:tcW w:type="dxa" w:w="4153"/>
          </w:tcPr>
          <w:p>
            <w:r>
              <w:rPr/>
              <w:t>验收要求</w:t>
            </w:r>
          </w:p>
        </w:tc>
        <w:tc>
          <w:tcPr>
            <w:tcW w:type="dxa" w:w="4153"/>
          </w:tcPr>
          <w:p/>
          <w:p/>
          <w:p/>
          <w:p>
            <w:r>
              <w:rPr/>
              <w:t>1期：中标人完成本合同约定的所有工作内容且采购人收到验收申请后7日内办理验收手续。</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其他内容，1、报价要求： （1）本项目最高限价为人民币1,489,500.00元。投标报价应包含完成本项目所需的全部费用，包含调研费、评估费、图纸费、通讯费、网络费、交通费、劳务费、专家评审费、制作费、验收费、所有技术人员的工勤费用（包括工资、福利、交通、食宿、通讯的费用等）、全额含税发票、不可预见等所产生的费用。 （2）在项目实施过程中若涉及第三方的知识产权，其使用过程所产生的一切费用应包含在该报价中。 2、本项目属于不专门面向中小微企业预留采购份额的项目，原因和情形为：鉴于本项目实施中需要较高的技术能力以及丰富的研究经验，涉及测绘地理信息、国土空间规划、设计、智慧城市等多个领域的服务内容，且工作过程中相关数据保密要求高，仅面向中小企业预留采购份额存在无法确保充分供应，可能影响政府采购目标实现的情形。经研判，本项目采购拟不专门面向中小企业预留采购份额。 3、验收标准：（1）《中华人民共和国城乡规划法》、《广东省城乡规划条例》、《广州市城乡规划技术规定》及其他法规、规范要求；（2）国家及行业现行标准。</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区域规划和设计服务</w:t>
            </w:r>
          </w:p>
        </w:tc>
        <w:tc>
          <w:tcPr>
            <w:tcW w:type="dxa" w:w="933"/>
          </w:tcPr>
          <w:p>
            <w:pPr>
              <w:jc w:val="left"/>
            </w:pPr>
            <w:r>
              <w:rPr/>
              <w:t>基于完整居住社区的全生命周期科学治理体系研究</w:t>
            </w:r>
          </w:p>
        </w:tc>
        <w:tc>
          <w:tcPr>
            <w:tcW w:type="dxa" w:w="933"/>
          </w:tcPr>
          <w:p>
            <w:pPr>
              <w:jc w:val="left"/>
            </w:pPr>
            <w:r>
              <w:rPr/>
              <w:t>项</w:t>
            </w:r>
          </w:p>
        </w:tc>
        <w:tc>
          <w:tcPr>
            <w:tcW w:type="dxa" w:w="933"/>
          </w:tcPr>
          <w:p>
            <w:pPr>
              <w:jc w:val="right"/>
            </w:pPr>
            <w:r>
              <w:rPr/>
              <w:t>1.00</w:t>
            </w:r>
          </w:p>
        </w:tc>
        <w:tc>
          <w:tcPr>
            <w:tcW w:type="dxa" w:w="933"/>
          </w:tcPr>
          <w:p>
            <w:pPr>
              <w:jc w:val="right"/>
            </w:pPr>
            <w:r>
              <w:rPr/>
              <w:t>1,489,500.00</w:t>
            </w:r>
          </w:p>
        </w:tc>
        <w:tc>
          <w:tcPr>
            <w:tcW w:type="dxa" w:w="933"/>
          </w:tcPr>
          <w:p>
            <w:pPr>
              <w:jc w:val="right"/>
            </w:pPr>
            <w:r>
              <w:rPr/>
              <w:t>1,489,500.00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基于完整居住社区的全生命周期科学治理体系研究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center"/>
            </w:pPr>
            <w:r>
              <w:rPr>
                <w:b/>
                <w:sz w:val="21"/>
              </w:rPr>
              <w:t>基于完整居住社区的全生命周期科学治理体系研究</w:t>
            </w:r>
          </w:p>
          <w:p>
            <w:pPr>
              <w:jc w:val="center"/>
            </w:pPr>
            <w:r>
              <w:rPr>
                <w:b/>
                <w:sz w:val="21"/>
              </w:rPr>
              <w:t>项目任务书</w:t>
            </w:r>
          </w:p>
          <w:p>
            <w:pPr>
              <w:jc w:val="both"/>
            </w:pPr>
            <w:r>
              <w:rPr>
                <w:b/>
                <w:sz w:val="21"/>
              </w:rPr>
              <w:t>一、项目背景</w:t>
            </w:r>
          </w:p>
          <w:p>
            <w:pPr>
              <w:ind w:firstLine="411"/>
              <w:jc w:val="both"/>
            </w:pPr>
            <w:r>
              <w:rPr>
                <w:sz w:val="21"/>
              </w:rPr>
              <w:t>为深入贯彻国家关于树立“全周期管理”意识，着力完善城市治理体系和城乡基层治理体系的重要指示精神，根据《住房和城乡建设部等部门关于开展城市居住社区建设补短板行动的意见》以及省住房和城乡建设厅联合13部门发布《关于结合城镇老旧小区改造等工作系统推动城市居住社区建设补短板行动的函》等文件要求，推进广州市完整社区补短板行动，利用数字化、智能化技术建设精准的全生命周期的完整居住社区科学治理与服务体系，多措并举系统推进补短板行动有序实施，到2025年全市完整社区覆盖率显著提升，推动广州加快实现老城市新活力和“四个出新出彩”。</w:t>
            </w:r>
          </w:p>
          <w:p>
            <w:pPr>
              <w:jc w:val="both"/>
            </w:pPr>
            <w:r>
              <w:rPr>
                <w:b/>
                <w:sz w:val="21"/>
              </w:rPr>
              <w:t>二、工作目标</w:t>
            </w:r>
          </w:p>
          <w:p>
            <w:pPr>
              <w:ind w:firstLine="420"/>
              <w:jc w:val="both"/>
            </w:pPr>
            <w:r>
              <w:rPr>
                <w:sz w:val="21"/>
              </w:rPr>
              <w:t>根据广州市住房和城乡建设局印发的《广州市社区建设补短板行动计划》和《关于落实推进社区建设补短板行动相关要求的通知》的要求，该项工作的目标是利用数字化、智能化技术建设精准的全生命周期的完整居住社区科学治理与服务体系，为广州市11个区所有居住社区的完整社区补短板行动提供指引和方向，为广州市完整社区建设精细化提供指引。</w:t>
            </w:r>
          </w:p>
          <w:p>
            <w:pPr>
              <w:jc w:val="both"/>
            </w:pPr>
            <w:r>
              <w:rPr>
                <w:b/>
                <w:sz w:val="21"/>
              </w:rPr>
              <w:t>三、工作内容</w:t>
            </w:r>
          </w:p>
          <w:p>
            <w:pPr>
              <w:ind w:firstLine="413"/>
              <w:jc w:val="both"/>
            </w:pPr>
            <w:r>
              <w:rPr>
                <w:b/>
                <w:sz w:val="21"/>
              </w:rPr>
              <w:t>（一）形成广州市完整社区现状一张图</w:t>
            </w:r>
          </w:p>
          <w:p>
            <w:pPr>
              <w:ind w:firstLine="413"/>
              <w:jc w:val="both"/>
            </w:pPr>
            <w:r>
              <w:rPr>
                <w:sz w:val="21"/>
              </w:rPr>
              <w:t>结合广州实际情况，完善及细化广东省住房和城乡建设厅下发的《居住社区设施配套情况调查表》内容与要求，联合市相关部门并组织各区，调查社区基本信息（边界、人口、面积等），收集整理社区基础公共服务设施、便民商业设施、市政配套基础设施、公共活动空间、物业管理及社区管理机制等信息，通过数据预处理、坐标转换、图形纠正、社区边界及社区设施数据矢量化、设施属性数据分析、数据校对核改等数据处理手段，形成广州市完整社区现状一张图，搭建完整社区数据库。</w:t>
            </w:r>
          </w:p>
          <w:p>
            <w:pPr>
              <w:ind w:firstLine="413"/>
              <w:jc w:val="both"/>
            </w:pPr>
            <w:r>
              <w:rPr>
                <w:b/>
                <w:sz w:val="21"/>
              </w:rPr>
              <w:t>（二）制定广州市完整社区实施方案</w:t>
            </w:r>
          </w:p>
          <w:p>
            <w:pPr>
              <w:ind w:firstLine="413"/>
              <w:jc w:val="both"/>
            </w:pPr>
            <w:r>
              <w:rPr>
                <w:sz w:val="21"/>
              </w:rPr>
              <w:t>在广州市选取不少于1个新建居住社区和2个既有居住社区工作试点作为完整社区工作试点，制定试点申报方案和实施方案，包括社区设施、公共空间场地设计、智慧社区管理运营模式实践、共同缔造活动策划等。探索创新智慧社区运营管理与服务模式，形成有稳定投资收益的可持续发展模式，有效推动形成政府主导和多元参与的共建共治共享格局。</w:t>
            </w:r>
          </w:p>
          <w:p>
            <w:pPr>
              <w:jc w:val="both"/>
            </w:pPr>
            <w:r>
              <w:rPr>
                <w:b/>
                <w:sz w:val="21"/>
              </w:rPr>
              <w:t>四、工作要求</w:t>
            </w:r>
          </w:p>
          <w:p>
            <w:pPr>
              <w:ind w:firstLine="411"/>
              <w:jc w:val="both"/>
            </w:pPr>
            <w:r>
              <w:rPr>
                <w:sz w:val="21"/>
              </w:rPr>
              <w:t>（一）项目服务的内容必须符合本任务书的要求，服务应当全面、规范，涉及文件材料应当完整归档。</w:t>
            </w:r>
          </w:p>
          <w:p>
            <w:pPr>
              <w:ind w:firstLine="411"/>
              <w:jc w:val="both"/>
            </w:pPr>
            <w:r>
              <w:rPr>
                <w:sz w:val="21"/>
              </w:rPr>
              <w:t>（二）项目服务过程中应注意相关数据、文件资料等的保密性，按照相关保密规定开展研究工作。</w:t>
            </w:r>
          </w:p>
          <w:p>
            <w:pPr>
              <w:ind w:firstLine="411"/>
              <w:jc w:val="both"/>
            </w:pPr>
            <w:r>
              <w:rPr>
                <w:sz w:val="21"/>
              </w:rPr>
              <w:t>（三）项目服务团队应保持稳定性，项目核心人员不发生变动。</w:t>
            </w:r>
          </w:p>
          <w:p>
            <w:pPr>
              <w:jc w:val="both"/>
            </w:pPr>
            <w:r>
              <w:rPr>
                <w:b/>
                <w:sz w:val="21"/>
              </w:rPr>
              <w:t>五、项目成果要求</w:t>
            </w:r>
          </w:p>
          <w:p>
            <w:pPr>
              <w:ind w:firstLine="420"/>
              <w:jc w:val="both"/>
            </w:pPr>
            <w:r>
              <w:rPr>
                <w:sz w:val="21"/>
              </w:rPr>
              <w:t>项目成果表达应当清晰、规范，符合相关法律、法规和国家有关标准的要求。项目成果提交包括纸质文件（打印装订文件）和电子文件（电子光盘）两种方式表达，须满足广州市住房和城乡建设局档案归档和审核要求，符合广州市住房和城乡建设局对项目成果管理数据化转换的技术要求。</w:t>
            </w:r>
          </w:p>
          <w:p>
            <w:pPr>
              <w:ind w:firstLine="420"/>
              <w:jc w:val="both"/>
            </w:pPr>
            <w:r>
              <w:rPr>
                <w:sz w:val="21"/>
              </w:rPr>
              <w:t>纸质文件要求：应做到图文并茂，准确、完整地阐述规划意图和内容，最终纸质成果提交6套。阶段性纸质成果（如局业务会、办公会审查成果，专家评审成果）根据具体情况确定打印数量。</w:t>
            </w:r>
          </w:p>
          <w:p>
            <w:pPr>
              <w:ind w:firstLine="420"/>
              <w:jc w:val="both"/>
            </w:pPr>
            <w:r>
              <w:rPr>
                <w:sz w:val="21"/>
              </w:rPr>
              <w:t>电子文件要求：最终电子成果提供1份刻录光盘，协助广州市住房和城乡建设局制作成果电子文件。</w:t>
            </w:r>
          </w:p>
          <w:p>
            <w:pPr>
              <w:jc w:val="both"/>
            </w:pPr>
            <w:r>
              <w:rPr>
                <w:b/>
                <w:sz w:val="21"/>
              </w:rPr>
              <w:t>六、进度安排</w:t>
            </w:r>
          </w:p>
          <w:p>
            <w:pPr>
              <w:ind w:firstLine="411"/>
              <w:jc w:val="both"/>
            </w:pPr>
            <w:r>
              <w:rPr>
                <w:sz w:val="21"/>
              </w:rPr>
              <w:t>本项目合同期限：自合同签订之日至2024年6月30日，具体时间若受采购人工作进度等不可控因素影响则顺延，具体工作阶段及内容如下：</w:t>
            </w:r>
          </w:p>
          <w:p>
            <w:pPr>
              <w:ind w:firstLine="411"/>
              <w:jc w:val="both"/>
            </w:pPr>
            <w:r>
              <w:rPr>
                <w:sz w:val="21"/>
              </w:rPr>
              <w:t>（一）第一阶段（2023年6月30日前），中标人摸清完整社区工作底数，进行数据预处理、坐标转换、图形纠正，并提交社区边界矢量化数据。</w:t>
            </w:r>
          </w:p>
          <w:p>
            <w:pPr>
              <w:ind w:firstLine="411"/>
              <w:jc w:val="both"/>
            </w:pPr>
            <w:r>
              <w:rPr>
                <w:sz w:val="21"/>
              </w:rPr>
              <w:t>（二）第二阶段（2023年8月31日前），中标人提交“五个一”设施（社区基础公共服务设施、便民商业设施、市政配套基础设施、公共活动空间、物业管理）信息表及矢量化成果，同时提交1个试点实施方案。</w:t>
            </w:r>
          </w:p>
          <w:p>
            <w:pPr>
              <w:ind w:firstLine="411"/>
              <w:jc w:val="both"/>
            </w:pPr>
            <w:r>
              <w:rPr>
                <w:sz w:val="21"/>
              </w:rPr>
              <w:t>（三）第三阶段（2023年12月31日前），中标人提交所有试点实施方案，完成所有数据入库，并提交专题图电子版成果，最终成果通过采购人组织的专家评审。</w:t>
            </w:r>
          </w:p>
          <w:p>
            <w:pPr>
              <w:ind w:firstLine="411"/>
              <w:jc w:val="both"/>
            </w:pPr>
            <w:r>
              <w:rPr>
                <w:sz w:val="21"/>
              </w:rPr>
              <w:t>（四）第四阶段（2024年6月30日前）：采购人对项目进行结算审核，根据结算审核结果一次性向中标人付清结算尾款。</w:t>
            </w:r>
          </w:p>
          <w:p>
            <w:pPr>
              <w:jc w:val="both"/>
            </w:pPr>
            <w:r>
              <w:rPr>
                <w:b/>
                <w:sz w:val="21"/>
              </w:rPr>
              <w:t>七、经费预算</w:t>
            </w:r>
          </w:p>
          <w:p>
            <w:pPr>
              <w:ind w:firstLine="420"/>
              <w:jc w:val="both"/>
            </w:pPr>
            <w:r>
              <w:rPr>
                <w:sz w:val="21"/>
              </w:rPr>
              <w:t>本项目总预算为人民币148.95万元，在广州市住房和城乡建设局部门预算“城维计划-广州市城市更新工作研究经费”中列支。最终项目资金以当年财政预算批复为准。</w:t>
            </w:r>
          </w:p>
          <w:p>
            <w:pPr>
              <w:jc w:val="both"/>
            </w:pPr>
            <w:r>
              <w:rPr>
                <w:b/>
                <w:sz w:val="21"/>
              </w:rPr>
              <w:t>八、人员要求</w:t>
            </w:r>
          </w:p>
          <w:p>
            <w:pPr>
              <w:ind w:firstLine="420"/>
              <w:jc w:val="both"/>
            </w:pPr>
            <w:r>
              <w:rPr>
                <w:sz w:val="21"/>
              </w:rPr>
              <w:t>1</w:t>
            </w:r>
            <w:r>
              <w:rPr>
                <w:sz w:val="21"/>
              </w:rPr>
              <w:t>、项目组需配备一名有较强的组织和协调能力、有较高的分析解决问题能力、丰富项目经验的项目负责人。拟项目负责人应具备城乡规划或建筑专业类的高级工程师或以上职称。</w:t>
            </w:r>
          </w:p>
          <w:p>
            <w:pPr>
              <w:ind w:firstLine="420"/>
              <w:jc w:val="both"/>
            </w:pPr>
            <w:r>
              <w:rPr>
                <w:sz w:val="21"/>
              </w:rPr>
              <w:t>2</w:t>
            </w:r>
            <w:r>
              <w:rPr>
                <w:sz w:val="21"/>
              </w:rPr>
              <w:t>、投标人拟投入本项目的团队成员（不含项目负责人），需具备规划、建筑、测绘相关专业的高级工程师或以上职称或注册证书。</w:t>
            </w:r>
          </w:p>
          <w:p>
            <w:pPr>
              <w:jc w:val="both"/>
            </w:pPr>
            <w:r>
              <w:rPr>
                <w:b/>
                <w:sz w:val="21"/>
              </w:rPr>
              <w:t>九、附则</w:t>
            </w:r>
          </w:p>
          <w:p>
            <w:pPr>
              <w:ind w:firstLine="420"/>
              <w:jc w:val="both"/>
            </w:pPr>
            <w:r>
              <w:rPr>
                <w:sz w:val="21"/>
              </w:rPr>
              <w:t>本项目成果与版权属广州市住房和城乡建设局所有，未经广州市住房和城乡建设局书面同意，中标人不得通过传播媒介、专业杂志、书刊或其他形式介绍、展示、评价、使用此项成果。</w:t>
            </w:r>
          </w:p>
          <w:p>
            <w:r>
              <w:rPr>
                <w:sz w:val="21"/>
              </w:rPr>
              <w:t>在成果文件发布前，任何单位和个人都无权以任何形式向社会公开展示或披露项目的任何情况。广州市住房和城乡建设局保留对项目任务书的最终解释权。</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1.采购代理机构：本项目是指中量工程咨询有限公司，负责整个采购活动的组织，依法负责编制和发布招标文件，对招标文件拥有最终的解释权，不以任何身份出任评标委员会成员。</w:t>
      </w:r>
    </w:p>
    <w:p>
      <w:pPr>
        <w:ind w:firstLine="480"/>
      </w:pPr>
      <w:r>
        <w:rPr/>
        <w:t>2.采购人：本项目是指</w:t>
      </w:r>
      <w:r>
        <w:rPr/>
        <w:t>广州市住房和城乡建设局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采购机构代理服务收费标准：固定额收费：人民币18,000.00元。</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其他内容，本项目采用综合评分法：推荐综合得分排名第一的投标人为第一中标候选人，排名第二的投标人为第二中标候选人。第二中标候选人报价高于第一中标候选人报价20％以上的，只推荐1名中标候选人。 （二）其他内容，关于开标方式为“远程电子开标”的说明，参与本项目的供应商对以下方式选 择其一参与本项目开标会议：（1）投标人到达投标文件递交地点，现场参与开标会议：开标 当天委派代表带上CA证书，现场递交纸质投标文件，进行现场开标签到及投标文件解密。 （2 ）投标人在外地远程参与开标会议：①提前将纸质投标文件通过快递方式邮寄至投标文件递交地 点（邮寄信息即：广东省广州市开发区科学大道181号科学城商业广场A4栋1308，张工，020 -82527972-669）。快递外包装请备注“项目名称+项目编号+供应商名称”。如邮寄请将快递单号、项目名称、供应商名称等信息发送至邮箱“ZLSJ_apply@163.com”，以便代理机构工作人员及时查询 物流信息查收快递。②开标当天，供应商需登录云平台通过“新供应商开标大厅”进行项目开标签 到及投标文件解密。③供应商进行投标文件解密前，电脑需提前安装CA签章客户端，并运行CA 证书。</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采购代理机构网站（http://www.zonleon.com/）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采购代理机构网站（http://www.zonleon.com/）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张女士</w:t>
      </w:r>
    </w:p>
    <w:p>
      <w:pPr>
        <w:ind w:firstLine="480"/>
      </w:pPr>
      <w:r>
        <w:rPr/>
        <w:t>电话：</w:t>
      </w:r>
      <w:r>
        <w:rPr/>
        <w:t>020-82527972-669</w:t>
      </w:r>
    </w:p>
    <w:p>
      <w:pPr>
        <w:ind w:firstLine="480"/>
      </w:pPr>
      <w:r>
        <w:rPr/>
        <w:t>传真：</w:t>
      </w:r>
      <w:r>
        <w:rPr/>
        <w:t>/</w:t>
      </w:r>
    </w:p>
    <w:p>
      <w:pPr>
        <w:ind w:firstLine="480"/>
      </w:pPr>
      <w:r>
        <w:rPr/>
        <w:t>邮箱：</w:t>
      </w:r>
      <w:r>
        <w:rPr/>
        <w:t>ZLSJ_apply@163.com（提交时请备注XX项目询问函/质疑函，并提前跟我司工作人员联系）</w:t>
      </w:r>
    </w:p>
    <w:p>
      <w:pPr>
        <w:ind w:firstLine="480"/>
      </w:pPr>
      <w:r>
        <w:rPr/>
        <w:t>地址：</w:t>
      </w:r>
      <w:r>
        <w:rPr/>
        <w:t>广州市开发区科学大道181号科学城商业广场A4栋1308（如采用邮寄形式提交，请提前跟我司工作人员联系，并同步将邮寄底单发送至我司邮箱）</w:t>
      </w:r>
    </w:p>
    <w:p>
      <w:pPr>
        <w:ind w:firstLine="480"/>
      </w:pPr>
      <w:r>
        <w:rPr/>
        <w:t>邮编：</w:t>
      </w:r>
      <w:r>
        <w:rPr/>
        <w:t>510653</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基于完整居住社区的全生命周期科学治理体系研究)：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中量工程咨询有限公司</w:t>
      </w:r>
      <w:r>
        <w:rPr/>
        <w:t>统一对外发布。</w:t>
      </w:r>
    </w:p>
    <w:p>
      <w:pPr>
        <w:ind w:firstLine="480"/>
      </w:pPr>
      <w:r>
        <w:rPr/>
        <w:t>（2）对</w:t>
      </w:r>
      <w:r>
        <w:rPr/>
        <w:t>中量工程咨询有限公司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采购包1（基于完整居住社区的全生命周期科学治理体系研究）：</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采购包1（基于完整居住社区的全生命周期科学治理体系研究）：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提供在中华人民共和国境内注册的法人或其他组织的营业执照或事业单位法人证书或社会团体法人登记证书复印件，如投标人为自然人的提供自然人身份证明复印件；如国家另有规定的，则从 其规定。（分支机构投标，须取得具有法人资格的总公司（总所）出具给分支机构的授权书，并 提供总公司（总所）和分支机构的营业执照（执业许可证）复印件。已由总公司（总所）授权的 ，总公司（总所）取得的相关资质证书对分支机构有效，法律法规或者行业另有规定的除外。）【如是联合体形式参加采购活动的，各方均须提供证明材料并加盖其单位公章】</w:t>
            </w:r>
          </w:p>
        </w:tc>
      </w:tr>
      <w:tr>
        <w:tc>
          <w:tcPr>
            <w:tcW w:type="dxa" w:w="890"/>
          </w:tcPr>
          <w:p>
            <w:r>
              <w:rPr/>
              <w:t>2</w:t>
            </w:r>
          </w:p>
        </w:tc>
        <w:tc>
          <w:tcPr>
            <w:tcW w:type="dxa" w:w="3178"/>
          </w:tcPr>
          <w:p>
            <w:r>
              <w:rPr/>
              <w:t>有依法缴纳税收和社会保障资金的良好记录</w:t>
            </w:r>
          </w:p>
        </w:tc>
        <w:tc>
          <w:tcPr>
            <w:tcW w:type="dxa" w:w="4238"/>
          </w:tcPr>
          <w:p>
            <w:r>
              <w:rPr/>
              <w:t>按格式要求签署《投标人资格声明函》。【如是联合体形式参加采购活动的，各方均须提供证明材料并加盖其单位公章】</w:t>
            </w:r>
          </w:p>
        </w:tc>
      </w:tr>
      <w:tr>
        <w:tc>
          <w:tcPr>
            <w:tcW w:type="dxa" w:w="890"/>
          </w:tcPr>
          <w:p>
            <w:r>
              <w:rPr/>
              <w:t>3</w:t>
            </w:r>
          </w:p>
        </w:tc>
        <w:tc>
          <w:tcPr>
            <w:tcW w:type="dxa" w:w="3178"/>
          </w:tcPr>
          <w:p>
            <w:r>
              <w:rPr/>
              <w:t>具有良好的商业信誉和健全的财务会计制度</w:t>
            </w:r>
          </w:p>
        </w:tc>
        <w:tc>
          <w:tcPr>
            <w:tcW w:type="dxa" w:w="4238"/>
          </w:tcPr>
          <w:p>
            <w:r>
              <w:rPr/>
              <w:t>按格式要求签署《投标人资格声明函》。【如是联合体形式参加采购活动的，各方均须提供证明材料并加盖其单位公章】</w:t>
            </w:r>
          </w:p>
        </w:tc>
      </w:tr>
      <w:tr>
        <w:tc>
          <w:tcPr>
            <w:tcW w:type="dxa" w:w="890"/>
          </w:tcPr>
          <w:p>
            <w:r>
              <w:rPr/>
              <w:t>4</w:t>
            </w:r>
          </w:p>
        </w:tc>
        <w:tc>
          <w:tcPr>
            <w:tcW w:type="dxa" w:w="3178"/>
          </w:tcPr>
          <w:p>
            <w:r>
              <w:rPr/>
              <w:t>履行合同所必需的设备和专业技术能力</w:t>
            </w:r>
          </w:p>
        </w:tc>
        <w:tc>
          <w:tcPr>
            <w:tcW w:type="dxa" w:w="4238"/>
          </w:tcPr>
          <w:p>
            <w:r>
              <w:rPr/>
              <w:t>按格式要求签署《投标人资格声明函》。【如是联合体形式参加采购活动的，各方均须提供证明材料并加盖其单位公章】</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如是联合体形式参加采购活动的，各方均须提供证明材料并加盖其单位公章】</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 构于投标（响应）截止时间当天在“信用中国”网站（www.creditchina.gov.cn）及中国政府采购网（http://www.ccgp.gov.cn/）查询结果为准，如相关失信记录已失效，供应商需提供相关证明资料）。如投标人为联合体的，联合体成员存在不良信用记录的，视同联合体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共同组成联合体投标的除外。为本项目提供整体设计、规范编制或者项目管理、监理、检测等服务的供应商，不得再参与本项目投标。投标函相关承诺要求内容。【如是联合体形式参加采购活动的，各方均须提供证明材料并加盖其单位公章】</w:t>
            </w:r>
          </w:p>
        </w:tc>
      </w:tr>
      <w:tr>
        <w:tc>
          <w:tcPr>
            <w:tcW w:type="dxa" w:w="890"/>
          </w:tcPr>
          <w:p>
            <w:r>
              <w:rPr/>
              <w:t>8</w:t>
            </w:r>
          </w:p>
        </w:tc>
        <w:tc>
          <w:tcPr>
            <w:tcW w:type="dxa" w:w="3178"/>
          </w:tcPr>
          <w:p>
            <w:r>
              <w:rPr/>
              <w:t>特定资格要求</w:t>
            </w:r>
          </w:p>
        </w:tc>
        <w:tc>
          <w:tcPr>
            <w:tcW w:type="dxa" w:w="4238"/>
          </w:tcPr>
          <w:p>
            <w:r>
              <w:rPr/>
              <w:t>投标人应具备城乡规划编制乙级或以上资质 （提供资质证书复印件）。根据《自然资源部办公厅关于深入推进城乡规划编制单位资质认定“放管服”改革的通知自然资办函〔2022〕450号》的要求,如属于2022年3月16日之后，提交申报城乡规划编制资质的，投标人须提供相关证明文件材料（包括但不限于证书复印件或资质批复或资质审核通过的证明材料复印件）。如投标人为联合体的，按照资质等级较低的投标人确定联合体资质等级。【如是联合体形式参加采购活动的，各方均须提供证明材料并加盖其单位公章】</w:t>
            </w:r>
          </w:p>
        </w:tc>
      </w:tr>
      <w:tr>
        <w:tc>
          <w:tcPr>
            <w:tcW w:type="dxa" w:w="890"/>
          </w:tcPr>
          <w:p>
            <w:r>
              <w:rPr/>
              <w:t>9</w:t>
            </w:r>
          </w:p>
        </w:tc>
        <w:tc>
          <w:tcPr>
            <w:tcW w:type="dxa" w:w="3178"/>
          </w:tcPr>
          <w:p>
            <w:r>
              <w:rPr/>
              <w:t>特定资格要求</w:t>
            </w:r>
          </w:p>
        </w:tc>
        <w:tc>
          <w:tcPr>
            <w:tcW w:type="dxa" w:w="4238"/>
          </w:tcPr>
          <w:p>
            <w:r>
              <w:rPr/>
              <w:t>本项目接受联合体投标。（如以联合体形式参与投标，联合体成员总数最多不超过2家，且联合体各方不得再独立参加或者与其他供应商另外组成联合体参加本项目的投标。联合体成员必须各方共同签署《联合体共同投标协议书》，明确分工。）</w:t>
            </w:r>
          </w:p>
        </w:tc>
      </w:tr>
      <w:tr>
        <w:tc>
          <w:tcPr>
            <w:tcW w:type="dxa" w:w="890"/>
          </w:tcPr>
          <w:p>
            <w:r>
              <w:rPr/>
              <w:t>10</w:t>
            </w:r>
          </w:p>
        </w:tc>
        <w:tc>
          <w:tcPr>
            <w:tcW w:type="dxa" w:w="3178"/>
          </w:tcPr>
          <w:p>
            <w:r>
              <w:rPr/>
              <w:t>落实政府采购政策需满足的资格要求</w:t>
            </w:r>
          </w:p>
        </w:tc>
        <w:tc>
          <w:tcPr>
            <w:tcW w:type="dxa" w:w="4238"/>
          </w:tcPr>
          <w:p>
            <w:r>
              <w:rPr/>
              <w:t>无，本项目不属于专门面向中小企业采购的项目。</w:t>
            </w:r>
          </w:p>
        </w:tc>
      </w:tr>
    </w:tbl>
    <w:p/>
    <w:p>
      <w:pPr>
        <w:ind w:firstLine="480"/>
      </w:pPr>
      <w:r>
        <w:rPr/>
        <w:t>表二符合性审查表：</w:t>
      </w:r>
    </w:p>
    <w:p>
      <w:pPr>
        <w:ind w:firstLine="480"/>
      </w:pPr>
    </w:p>
    <w:p/>
    <w:p>
      <w:r>
        <w:rPr/>
        <w:t>采购包1（基于完整居住社区的全生命周期科学治理体系研究）：</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按照招标文件规定要求签署 、盖章且投标文件有法定代表人签字或盖个人名章（或签字人有法定代表人有效授权书）的；</w:t>
            </w:r>
          </w:p>
        </w:tc>
        <w:tc>
          <w:tcPr>
            <w:tcW w:type="dxa" w:w="4238"/>
          </w:tcPr>
          <w:p>
            <w:r>
              <w:rPr/>
              <w:t>按照招标文件规定要求签署 、盖章且投标文件有法定代表人签字或盖个人名章（或签字人有法定代表人有效授权书）的；</w:t>
            </w:r>
          </w:p>
        </w:tc>
      </w:tr>
      <w:tr>
        <w:tc>
          <w:tcPr>
            <w:tcW w:type="dxa" w:w="890"/>
          </w:tcPr>
          <w:p>
            <w:r>
              <w:rPr/>
              <w:t>2</w:t>
            </w:r>
          </w:p>
        </w:tc>
        <w:tc>
          <w:tcPr>
            <w:tcW w:type="dxa" w:w="3178"/>
          </w:tcPr>
          <w:p>
            <w:r>
              <w:rPr/>
              <w:t>投标函已提交并符合招标文件要求的，且投标有效期不少于招标文件中载明的投标有效期；</w:t>
            </w:r>
          </w:p>
        </w:tc>
        <w:tc>
          <w:tcPr>
            <w:tcW w:type="dxa" w:w="4238"/>
          </w:tcPr>
          <w:p>
            <w:r>
              <w:rPr/>
              <w:t>投标函已提交并符合招标文件要求的，且投标有效期不少于招标文件中载明的投标有效期；</w:t>
            </w:r>
          </w:p>
        </w:tc>
      </w:tr>
      <w:tr>
        <w:tc>
          <w:tcPr>
            <w:tcW w:type="dxa" w:w="890"/>
          </w:tcPr>
          <w:p>
            <w:r>
              <w:rPr/>
              <w:t>3</w:t>
            </w:r>
          </w:p>
        </w:tc>
        <w:tc>
          <w:tcPr>
            <w:tcW w:type="dxa" w:w="3178"/>
          </w:tcPr>
          <w:p>
            <w:r>
              <w:rPr/>
              <w:t>投标报价确定且未超过本项目最高限价的；</w:t>
            </w:r>
          </w:p>
        </w:tc>
        <w:tc>
          <w:tcPr>
            <w:tcW w:type="dxa" w:w="4238"/>
          </w:tcPr>
          <w:p>
            <w:r>
              <w:rPr/>
              <w:t>投标报价确定且未超过本项目最高限价的；</w:t>
            </w:r>
          </w:p>
        </w:tc>
      </w:tr>
      <w:tr>
        <w:tc>
          <w:tcPr>
            <w:tcW w:type="dxa" w:w="890"/>
          </w:tcPr>
          <w:p>
            <w:r>
              <w:rPr/>
              <w:t>4</w:t>
            </w:r>
          </w:p>
        </w:tc>
        <w:tc>
          <w:tcPr>
            <w:tcW w:type="dxa" w:w="3178"/>
          </w:tcPr>
          <w:p>
            <w:r>
              <w:rPr/>
              <w:t>投标文件未出现选择性报价或有附加条件报价的情形；</w:t>
            </w:r>
          </w:p>
        </w:tc>
        <w:tc>
          <w:tcPr>
            <w:tcW w:type="dxa" w:w="4238"/>
          </w:tcPr>
          <w:p>
            <w:r>
              <w:rPr/>
              <w:t>投标文件未出现选择性报价或有附加条件报价的情形；</w:t>
            </w:r>
          </w:p>
        </w:tc>
      </w:tr>
      <w:tr>
        <w:tc>
          <w:tcPr>
            <w:tcW w:type="dxa" w:w="890"/>
          </w:tcPr>
          <w:p>
            <w:r>
              <w:rPr/>
              <w:t>5</w:t>
            </w:r>
          </w:p>
        </w:tc>
        <w:tc>
          <w:tcPr>
            <w:tcW w:type="dxa" w:w="3178"/>
          </w:tcPr>
          <w:p>
            <w:r>
              <w:rPr/>
              <w:t>投标文件没有招标文件中规定的其它无效投标条款的；</w:t>
            </w:r>
          </w:p>
        </w:tc>
        <w:tc>
          <w:tcPr>
            <w:tcW w:type="dxa" w:w="4238"/>
          </w:tcPr>
          <w:p>
            <w:r>
              <w:rPr/>
              <w:t>投标文件没有招标文件中规定的其它无效投标条款的；</w:t>
            </w:r>
          </w:p>
        </w:tc>
      </w:tr>
      <w:tr>
        <w:tc>
          <w:tcPr>
            <w:tcW w:type="dxa" w:w="890"/>
          </w:tcPr>
          <w:p>
            <w:r>
              <w:rPr/>
              <w:t>6</w:t>
            </w:r>
          </w:p>
        </w:tc>
        <w:tc>
          <w:tcPr>
            <w:tcW w:type="dxa" w:w="3178"/>
          </w:tcPr>
          <w:p>
            <w:r>
              <w:rPr/>
              <w:t>按有关法律、法规、规章不属于投标无效的。</w:t>
            </w:r>
          </w:p>
        </w:tc>
        <w:tc>
          <w:tcPr>
            <w:tcW w:type="dxa" w:w="4238"/>
          </w:tcPr>
          <w:p>
            <w:r>
              <w:rPr/>
              <w:t>按有关法律、法规、规章不属于投标无效的。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采购包1(基于完整居住社区的全生命周期科学治理体系研究):</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 (8.0分)</w:t>
            </w:r>
            <w:r>
              <w:rPr/>
              <w:t>，（等次分值选择：</w:t>
            </w:r>
            <w:r>
              <w:rPr/>
              <w:t>0.0;</w:t>
            </w:r>
            <w:r>
              <w:rPr/>
              <w:t>4.0;</w:t>
            </w:r>
            <w:r>
              <w:rPr/>
              <w:t>6.0;</w:t>
            </w:r>
            <w:r>
              <w:rPr/>
              <w:t>8.0;</w:t>
            </w:r>
            <w:r>
              <w:rPr/>
              <w:t>）</w:t>
            </w:r>
          </w:p>
        </w:tc>
        <w:tc>
          <w:tcPr>
            <w:tcW w:type="dxa" w:w="5076"/>
          </w:tcPr>
          <w:p>
            <w:pPr>
              <w:jc w:val="left"/>
            </w:pPr>
            <w:r>
              <w:rPr/>
              <w:t>1.对本项目的分析研究、工作方向解读等内容科学、合理、准确，得8分； 2.对本项目的分析研究、工作方向解读等内容较为科学、合理、准确，得6分； 3.对本项目的分析研究、工作方向解读等内容基本科学、合理、准确，得4分； 4.对本项目的分析研究、工作方向解读等内容不科学、不合理、不准确，得0分。</w:t>
            </w:r>
          </w:p>
        </w:tc>
      </w:tr>
      <w:tr>
        <w:tc>
          <w:tcPr>
            <w:tcW w:type="dxa" w:w="922"/>
            <w:gridSpan w:val="2"/>
            <w:vMerge/>
          </w:tcPr>
          <w:p/>
        </w:tc>
        <w:tc>
          <w:tcPr>
            <w:tcW w:type="dxa" w:w="2307"/>
          </w:tcPr>
          <w:p>
            <w:pPr>
              <w:jc w:val="left"/>
            </w:pPr>
            <w:r>
              <w:rPr/>
              <w:t>项目基础调研 (8.0分)</w:t>
            </w:r>
            <w:r>
              <w:rPr/>
              <w:t>，（等次分值选择：</w:t>
            </w:r>
            <w:r>
              <w:rPr/>
              <w:t>0.0;</w:t>
            </w:r>
            <w:r>
              <w:rPr/>
              <w:t>4.0;</w:t>
            </w:r>
            <w:r>
              <w:rPr/>
              <w:t>6.0;</w:t>
            </w:r>
            <w:r>
              <w:rPr/>
              <w:t>8.0;</w:t>
            </w:r>
            <w:r>
              <w:rPr/>
              <w:t>）</w:t>
            </w:r>
          </w:p>
        </w:tc>
        <w:tc>
          <w:tcPr>
            <w:tcW w:type="dxa" w:w="5076"/>
          </w:tcPr>
          <w:p>
            <w:pPr>
              <w:jc w:val="left"/>
            </w:pPr>
            <w:r>
              <w:rPr/>
              <w:t>1.现状调研、基础资料收集科学全面，得8分； 2.现状调研、基础资料收集科学较为全面，得6分； 3.现状调研、基础资料收集科学全面性一般，得4分； 4.未提供，得0分。</w:t>
            </w:r>
          </w:p>
        </w:tc>
      </w:tr>
      <w:tr>
        <w:tc>
          <w:tcPr>
            <w:tcW w:type="dxa" w:w="922"/>
            <w:gridSpan w:val="2"/>
            <w:vMerge/>
          </w:tcPr>
          <w:p/>
        </w:tc>
        <w:tc>
          <w:tcPr>
            <w:tcW w:type="dxa" w:w="2307"/>
          </w:tcPr>
          <w:p>
            <w:pPr>
              <w:jc w:val="left"/>
            </w:pPr>
            <w:r>
              <w:rPr/>
              <w:t>项目总体工作思路和技术路线 (7.0分)</w:t>
            </w:r>
            <w:r>
              <w:rPr/>
              <w:t>，（等次分值选择：</w:t>
            </w:r>
            <w:r>
              <w:rPr/>
              <w:t>0.0;</w:t>
            </w:r>
            <w:r>
              <w:rPr/>
              <w:t>3.0;</w:t>
            </w:r>
            <w:r>
              <w:rPr/>
              <w:t>5.0;</w:t>
            </w:r>
            <w:r>
              <w:rPr/>
              <w:t>7.0;</w:t>
            </w:r>
            <w:r>
              <w:rPr/>
              <w:t>）</w:t>
            </w:r>
          </w:p>
        </w:tc>
        <w:tc>
          <w:tcPr>
            <w:tcW w:type="dxa" w:w="5076"/>
          </w:tcPr>
          <w:p>
            <w:pPr>
              <w:jc w:val="left"/>
            </w:pPr>
            <w:r>
              <w:rPr/>
              <w:t>1.项目工作方法、技术路线、总体工作思路、实施计划及其保证措施等内容科学、合理，得7分；  2.项目工作方法、技术路线、总体工作思路、实施计划及其保证措施等内容较为科学、合理，得5分； 3.项目工作方法、技术路线、总体工作思路、实施计划及其保证措施等内容基本科学、合理，得3分； 4.项目工作方法、技术路线、总体工作思路、实施计划及其保证措施等内容不科学、不合理，得0分。</w:t>
            </w:r>
          </w:p>
        </w:tc>
      </w:tr>
      <w:tr>
        <w:tc>
          <w:tcPr>
            <w:tcW w:type="dxa" w:w="922"/>
            <w:gridSpan w:val="2"/>
            <w:vMerge/>
          </w:tcPr>
          <w:p/>
        </w:tc>
        <w:tc>
          <w:tcPr>
            <w:tcW w:type="dxa" w:w="2307"/>
          </w:tcPr>
          <w:p>
            <w:pPr>
              <w:jc w:val="left"/>
            </w:pPr>
            <w:r>
              <w:rPr/>
              <w:t>项目重点难点分析及合理化建议 (8.0分)</w:t>
            </w:r>
            <w:r>
              <w:rPr/>
              <w:t>，（等次分值选择：</w:t>
            </w:r>
            <w:r>
              <w:rPr/>
              <w:t>0.0;</w:t>
            </w:r>
            <w:r>
              <w:rPr/>
              <w:t>4.0;</w:t>
            </w:r>
            <w:r>
              <w:rPr/>
              <w:t>6.0;</w:t>
            </w:r>
            <w:r>
              <w:rPr/>
              <w:t>8.0;</w:t>
            </w:r>
            <w:r>
              <w:rPr/>
              <w:t>）</w:t>
            </w:r>
          </w:p>
        </w:tc>
        <w:tc>
          <w:tcPr>
            <w:tcW w:type="dxa" w:w="5076"/>
          </w:tcPr>
          <w:p>
            <w:pPr>
              <w:jc w:val="left"/>
            </w:pPr>
            <w:r>
              <w:rPr/>
              <w:t>1.针对项目的重点、难点和关键点进行分析，对整个项目的重点难点把握准确到位，提出的建议科学、合理，得8分； 2.针对项目的重点、难点和关键点进行分析，对整个项目的重点难点把握较为准确，提出的建议较为科学、合理，得6分； 3.针对项目的重点、难点和关键点进行分析，对整个项目的重点难点把握基本准确，提出的建议基本科学、合理，得4分； 4.针对项目的重点、难点和关键点未进行分析或对整个项目的重点难点把握不准确，提出的建议不科学、不合理，得0分。</w:t>
            </w:r>
          </w:p>
        </w:tc>
      </w:tr>
      <w:tr>
        <w:tc>
          <w:tcPr>
            <w:tcW w:type="dxa" w:w="922"/>
            <w:gridSpan w:val="2"/>
            <w:vMerge/>
          </w:tcPr>
          <w:p/>
        </w:tc>
        <w:tc>
          <w:tcPr>
            <w:tcW w:type="dxa" w:w="2307"/>
          </w:tcPr>
          <w:p>
            <w:pPr>
              <w:jc w:val="left"/>
            </w:pPr>
            <w:r>
              <w:rPr/>
              <w:t>时间进度安排 (7.0分)</w:t>
            </w:r>
            <w:r>
              <w:rPr/>
              <w:t>，（等次分值选择：</w:t>
            </w:r>
            <w:r>
              <w:rPr/>
              <w:t>0.0;</w:t>
            </w:r>
            <w:r>
              <w:rPr/>
              <w:t>3.0;</w:t>
            </w:r>
            <w:r>
              <w:rPr/>
              <w:t>5.0;</w:t>
            </w:r>
            <w:r>
              <w:rPr/>
              <w:t>7.0;</w:t>
            </w:r>
            <w:r>
              <w:rPr/>
              <w:t>）</w:t>
            </w:r>
          </w:p>
        </w:tc>
        <w:tc>
          <w:tcPr>
            <w:tcW w:type="dxa" w:w="5076"/>
          </w:tcPr>
          <w:p>
            <w:pPr>
              <w:jc w:val="left"/>
            </w:pPr>
            <w:r>
              <w:rPr/>
              <w:t>1.对本项目时间进度的安排合理可行，得7分； 2.对本项目时间进度的安排较为合理可行，得5分； 3.对本项目时间进度的安排基本合理可行，得3分； 4.对本项目时间进度的安排不合理不可行，得0分。</w:t>
            </w:r>
          </w:p>
        </w:tc>
      </w:tr>
      <w:tr>
        <w:tc>
          <w:tcPr>
            <w:tcW w:type="dxa" w:w="922"/>
            <w:gridSpan w:val="2"/>
            <w:vMerge/>
          </w:tcPr>
          <w:p/>
        </w:tc>
        <w:tc>
          <w:tcPr>
            <w:tcW w:type="dxa" w:w="2307"/>
          </w:tcPr>
          <w:p>
            <w:pPr>
              <w:jc w:val="left"/>
            </w:pPr>
            <w:r>
              <w:rPr/>
              <w:t>质量和技术保障以及后期服务措施 (7.0分)</w:t>
            </w:r>
            <w:r>
              <w:rPr/>
              <w:t>，（等次分值选择：</w:t>
            </w:r>
            <w:r>
              <w:rPr/>
              <w:t>0.0;</w:t>
            </w:r>
            <w:r>
              <w:rPr/>
              <w:t>3.0;</w:t>
            </w:r>
            <w:r>
              <w:rPr/>
              <w:t>5.0;</w:t>
            </w:r>
            <w:r>
              <w:rPr/>
              <w:t>7.0;</w:t>
            </w:r>
            <w:r>
              <w:rPr/>
              <w:t>）</w:t>
            </w:r>
          </w:p>
        </w:tc>
        <w:tc>
          <w:tcPr>
            <w:tcW w:type="dxa" w:w="5076"/>
          </w:tcPr>
          <w:p>
            <w:pPr>
              <w:jc w:val="left"/>
            </w:pPr>
            <w:r>
              <w:rPr/>
              <w:t>1.提供的质量和技术保障措施全面、可行，后期服务措施具体、适当，得7分； 2.提供的质量和技术保障措施较为全面、可行，后期服务措施较为具体、适当，得5分； 3.提供的质量和技术保障措施基本全面、可行，后期服务措施基本具体、适当，得3分； 4.提供的质量和技术保障措施不全面、不可行，后期服务措施不具体、不适当，得0分。</w:t>
            </w:r>
          </w:p>
        </w:tc>
      </w:tr>
      <w:tr>
        <w:tc>
          <w:tcPr>
            <w:tcW w:type="dxa" w:w="922"/>
            <w:gridSpan w:val="2"/>
            <w:vMerge w:val="restart"/>
          </w:tcPr>
          <w:p>
            <w:pPr>
              <w:jc w:val="center"/>
            </w:pPr>
            <w:r>
              <w:rPr/>
              <w:t>商务部分</w:t>
            </w:r>
          </w:p>
        </w:tc>
        <w:tc>
          <w:tcPr>
            <w:tcW w:type="dxa" w:w="2307"/>
          </w:tcPr>
          <w:p>
            <w:pPr>
              <w:jc w:val="left"/>
            </w:pPr>
            <w:r>
              <w:rPr/>
              <w:t>体系认证 (9.0分)</w:t>
            </w:r>
          </w:p>
        </w:tc>
        <w:tc>
          <w:tcPr>
            <w:tcW w:type="dxa" w:w="5076"/>
          </w:tcPr>
          <w:p>
            <w:pPr>
              <w:jc w:val="left"/>
            </w:pPr>
            <w:r>
              <w:rPr/>
              <w:t>1.投标人具有质量管理体系认证证书得3分； 2.投标人具有环境管理体系认证证书得3分； 3.投标人具有信息技术服务管理体系认证证书得3分； 备注：（1）提供有效期内的认证证书复印件；（2）提供网站公布的信息资料截图作为佐证【网址以http://www.cnca.gov.cn/网站或者http://cx.cnca.cn/网站公布为准】，已失效或撤销或暂停的不得分。公开信息中无法查询或与公开信息不一致的，供应商必须提供发证机构出具的证明函。（3）如投标人为联合体的，以牵头方提供的资料为评审依据。</w:t>
            </w:r>
          </w:p>
        </w:tc>
      </w:tr>
      <w:tr>
        <w:tc>
          <w:tcPr>
            <w:tcW w:type="dxa" w:w="922"/>
            <w:gridSpan w:val="2"/>
            <w:vMerge/>
          </w:tcPr>
          <w:p/>
        </w:tc>
        <w:tc>
          <w:tcPr>
            <w:tcW w:type="dxa" w:w="2307"/>
          </w:tcPr>
          <w:p>
            <w:pPr>
              <w:jc w:val="left"/>
            </w:pPr>
            <w:r>
              <w:rPr/>
              <w:t>同类项目业绩 (11.0分)</w:t>
            </w:r>
          </w:p>
        </w:tc>
        <w:tc>
          <w:tcPr>
            <w:tcW w:type="dxa" w:w="5076"/>
          </w:tcPr>
          <w:p>
            <w:pPr>
              <w:jc w:val="left"/>
            </w:pPr>
            <w:r>
              <w:rPr/>
              <w:t>1.2018年1月1日（以合同签订时间为准）至今，投标人承担城市更新专项规划编制项目的，每提供一项业绩得1分，最高得6分； 2.2018年1月1日（以合同签订时间为准）至今，投标人承担老旧小区实施方案编制项目的，每提供一项业绩得0.5分，最高得5分。 上述2项累计最高得11分。 注：（1）需提供合同复印件并加盖公章；（2）如投标人为联合体的，以牵头方提供的业绩为评审依据。</w:t>
            </w:r>
          </w:p>
        </w:tc>
      </w:tr>
      <w:tr>
        <w:tc>
          <w:tcPr>
            <w:tcW w:type="dxa" w:w="922"/>
            <w:gridSpan w:val="2"/>
            <w:vMerge/>
          </w:tcPr>
          <w:p/>
        </w:tc>
        <w:tc>
          <w:tcPr>
            <w:tcW w:type="dxa" w:w="2307"/>
          </w:tcPr>
          <w:p>
            <w:pPr>
              <w:jc w:val="left"/>
            </w:pPr>
            <w:r>
              <w:rPr/>
              <w:t>用户满意度评价 (2.0分)</w:t>
            </w:r>
          </w:p>
        </w:tc>
        <w:tc>
          <w:tcPr>
            <w:tcW w:type="dxa" w:w="5076"/>
          </w:tcPr>
          <w:p>
            <w:pPr>
              <w:jc w:val="left"/>
            </w:pPr>
            <w:r>
              <w:rPr/>
              <w:t>投标人提供满足上述同类项目业绩评分要求的用户单位出具的满意度评价，评价情况至少须为“满意或类似好评”的方可计分：每提供一项得0.5分，最高得2分，无得0分。 备注：（1）同一客户或同一项目提供多项用户满意度评价的，按一项计算； （2）须与投标人上述提供的2018年1月1日至今的同类项目业绩的用户单位一致； （3）用户满意度评价须经用户单位盖章，评价情况至少须为满意或类似好评的方可计分； （4）如投标人为联合体的，以牵头方提供的证明材料为评审依据。</w:t>
            </w:r>
          </w:p>
        </w:tc>
      </w:tr>
      <w:tr>
        <w:tc>
          <w:tcPr>
            <w:tcW w:type="dxa" w:w="922"/>
            <w:gridSpan w:val="2"/>
            <w:vMerge/>
          </w:tcPr>
          <w:p/>
        </w:tc>
        <w:tc>
          <w:tcPr>
            <w:tcW w:type="dxa" w:w="2307"/>
          </w:tcPr>
          <w:p>
            <w:pPr>
              <w:jc w:val="left"/>
            </w:pPr>
            <w:r>
              <w:rPr/>
              <w:t>项目本地化服务能力 (3.0分)</w:t>
            </w:r>
          </w:p>
        </w:tc>
        <w:tc>
          <w:tcPr>
            <w:tcW w:type="dxa" w:w="5076"/>
          </w:tcPr>
          <w:p>
            <w:pPr>
              <w:jc w:val="left"/>
            </w:pPr>
            <w:r>
              <w:rPr/>
              <w:t>1.投标人承诺在接到采购人通知后，30分钟（包含30分钟）内响应并到达现场提供服务的，得3分； 2.投标人承诺在接到采购人通知后，60分钟（包含60分钟）内响应并到达现场提供服务的，得2分； 3.投标人承诺在接到采购人通知后，90分钟（包含90分钟）内响应并到达现场提供服务的，得1分； 其他不得分。 备注：投标人需提供承诺函（格式自拟）作为证明材料。</w:t>
            </w:r>
          </w:p>
        </w:tc>
      </w:tr>
      <w:tr>
        <w:tc>
          <w:tcPr>
            <w:tcW w:type="dxa" w:w="922"/>
            <w:gridSpan w:val="2"/>
            <w:vMerge/>
          </w:tcPr>
          <w:p/>
        </w:tc>
        <w:tc>
          <w:tcPr>
            <w:tcW w:type="dxa" w:w="2307"/>
          </w:tcPr>
          <w:p>
            <w:pPr>
              <w:jc w:val="left"/>
            </w:pPr>
            <w:r>
              <w:rPr/>
              <w:t>项目获奖 (5.0分)</w:t>
            </w:r>
          </w:p>
        </w:tc>
        <w:tc>
          <w:tcPr>
            <w:tcW w:type="dxa" w:w="5076"/>
          </w:tcPr>
          <w:p>
            <w:pPr>
              <w:jc w:val="left"/>
            </w:pPr>
            <w:r>
              <w:rPr/>
              <w:t>2018年1月1日至今，投标人曾获得过城乡规划设计奖，每项得0.5分，本项最高得5分。 注：（1）同一项目获多项不重复计分，需提供有效的证书复印件，时间以获奖证书为准；（2）如投标人为联合体的，以牵头方提供的资料为评审依据。</w:t>
            </w:r>
          </w:p>
        </w:tc>
      </w:tr>
      <w:tr>
        <w:tc>
          <w:tcPr>
            <w:tcW w:type="dxa" w:w="922"/>
            <w:gridSpan w:val="2"/>
            <w:vMerge/>
          </w:tcPr>
          <w:p/>
        </w:tc>
        <w:tc>
          <w:tcPr>
            <w:tcW w:type="dxa" w:w="2307"/>
          </w:tcPr>
          <w:p>
            <w:pPr>
              <w:jc w:val="left"/>
            </w:pPr>
            <w:r>
              <w:rPr/>
              <w:t>专业技术人员 (15.0分)</w:t>
            </w:r>
          </w:p>
        </w:tc>
        <w:tc>
          <w:tcPr>
            <w:tcW w:type="dxa" w:w="5076"/>
          </w:tcPr>
          <w:p>
            <w:pPr>
              <w:jc w:val="left"/>
            </w:pPr>
            <w:r>
              <w:rPr/>
              <w:t>1.投标人拟投入本项目的项目负责人： （1）具有城乡规划或建筑专业类的高级或以上职称的，得3分，其他不得分。 （2）2018年1月1日至今，项目负责人曾以项目负责人的身份参与老旧小区实施方案编制项目的，每提供一项得1分，最高得3分。 （3）2018年1月1日至今，项目负责人曾获得过城乡规划设计奖，每项得1分，最高得3分。 本小项累计最高得9分。 注：需提供职称证书复印件、获奖证书（同一项目获多项不重复计分，项目负责人的获奖项目与“项目获奖”项目不重复计分。需提供有效的证书复印件，时间以获奖证书为准）、投标截止日前6个月内任意1个月在投标人单位购买的社保证明文件复印件；项目负责人业绩需提供合同复印件（合同中需体现项目负责人身份，以合同签订时间为准）。如投标人为联合体的，项目负责人必须为牵头方人员。 2.配备项目开展所需规划、建筑、测绘相关专业技术人员（不含项目负责人）； （1）具备相关专业高级或以上职称的，每提供1人得1分，最多得3分；（需提供项目人员的职称证书复印件） （2）具备相关专业注册证书的，每提供一人得1分，最多得3分（需提供项目人员的注册证书复印件）。 本小项累计最高得6分。 注：如投标人为联合体的，项目负责人必须为牵头方人员，其他项目人员可以是联合体成员各方人员。 同一人员具有多项证书的，只计算1次得分，不可重复累计，相关证书须在有效合法期内，同时提供下述资料：投标截止日前6个月内任意1个月在投标人单位购买的社保证明文件复印件。</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r>
        <w:rPr>
          <w:b/>
          <w:sz w:val="20"/>
        </w:rPr>
        <w:t>合同编号（甲方）：</w:t>
      </w:r>
      <w:r>
        <w:rPr>
          <w:b/>
          <w:sz w:val="44"/>
          <w:u w:val="single"/>
        </w:rPr>
        <w:t xml:space="preserve">                   </w:t>
      </w:r>
    </w:p>
    <w:p>
      <w:pPr>
        <w:jc w:val="both"/>
      </w:pPr>
      <w:r>
        <w:rPr>
          <w:sz w:val="20"/>
        </w:rPr>
        <w:t>合同编号（乙方）：</w:t>
      </w:r>
      <w:r>
        <w:rPr>
          <w:sz w:val="21"/>
          <w:u w:val="single"/>
        </w:rPr>
        <w:t xml:space="preserve"> </w:t>
      </w:r>
      <w:r>
        <w:rPr>
          <w:sz w:val="21"/>
          <w:u w:val="single"/>
        </w:rPr>
        <w:t xml:space="preserve">              </w:t>
      </w:r>
      <w:r>
        <w:rPr>
          <w:sz w:val="21"/>
          <w:u w:val="single"/>
        </w:rPr>
        <w:t xml:space="preserve">    </w:t>
      </w:r>
    </w:p>
    <w:p>
      <w:pPr>
        <w:jc w:val="center"/>
      </w:pPr>
    </w:p>
    <w:p>
      <w:pPr>
        <w:jc w:val="center"/>
      </w:pPr>
    </w:p>
    <w:p>
      <w:pPr>
        <w:jc w:val="center"/>
      </w:pPr>
      <w:r>
        <w:rPr>
          <w:b/>
          <w:sz w:val="44"/>
        </w:rPr>
        <w:t>技术服务合同</w:t>
      </w:r>
    </w:p>
    <w:p>
      <w:pPr>
        <w:ind w:firstLine="1080"/>
        <w:jc w:val="both"/>
      </w:pPr>
      <w:r>
        <w:rPr>
          <w:sz w:val="21"/>
        </w:rPr>
        <w:t xml:space="preserve">     </w:t>
      </w:r>
    </w:p>
    <w:p>
      <w:pPr>
        <w:ind w:firstLine="1080"/>
        <w:jc w:val="both"/>
      </w:pPr>
    </w:p>
    <w:p>
      <w:pPr>
        <w:ind w:firstLine="1080"/>
        <w:jc w:val="both"/>
      </w:pPr>
    </w:p>
    <w:p>
      <w:pPr>
        <w:ind w:firstLine="1080"/>
        <w:jc w:val="both"/>
      </w:pPr>
    </w:p>
    <w:p>
      <w:pPr>
        <w:ind w:firstLine="1080"/>
        <w:jc w:val="both"/>
      </w:pPr>
    </w:p>
    <w:p>
      <w:pPr>
        <w:jc w:val="left"/>
      </w:pPr>
      <w:r>
        <w:rPr>
          <w:b/>
          <w:sz w:val="28"/>
        </w:rPr>
        <w:t>　　　项目名称：</w:t>
      </w:r>
      <w:r>
        <w:rPr>
          <w:b/>
          <w:sz w:val="28"/>
          <w:u w:val="single"/>
        </w:rPr>
        <w:t>基于完整居住社区的全生命周期科学治理体系研究</w:t>
      </w:r>
    </w:p>
    <w:p>
      <w:pPr>
        <w:ind w:firstLine="829"/>
        <w:jc w:val="left"/>
      </w:pPr>
      <w:r>
        <w:rPr>
          <w:b/>
          <w:sz w:val="28"/>
        </w:rPr>
        <w:t>委托方（甲方）：</w:t>
      </w:r>
      <w:r>
        <w:rPr>
          <w:b/>
          <w:sz w:val="28"/>
          <w:u w:val="single"/>
        </w:rPr>
        <w:t>广州市住房和城乡建设局</w:t>
      </w:r>
    </w:p>
    <w:p>
      <w:pPr>
        <w:ind w:firstLine="843"/>
        <w:jc w:val="left"/>
      </w:pPr>
      <w:r>
        <w:rPr>
          <w:b/>
          <w:sz w:val="28"/>
        </w:rPr>
        <w:t>受托方（乙方）：</w:t>
      </w:r>
      <w:r>
        <w:rPr>
          <w:sz w:val="21"/>
          <w:u w:val="single"/>
        </w:rPr>
        <w:t xml:space="preserve">                                                                     </w:t>
      </w:r>
    </w:p>
    <w:p>
      <w:pPr>
        <w:ind w:firstLine="843"/>
        <w:jc w:val="left"/>
      </w:pPr>
      <w:r>
        <w:rPr>
          <w:b/>
          <w:sz w:val="28"/>
        </w:rPr>
        <w:t>签订时间：</w:t>
      </w:r>
      <w:r>
        <w:rPr>
          <w:sz w:val="21"/>
          <w:u w:val="single"/>
        </w:rPr>
        <w:t>　　　　　　　　　　　</w:t>
      </w:r>
      <w:r>
        <w:rPr>
          <w:sz w:val="21"/>
          <w:u w:val="single"/>
        </w:rPr>
        <w:t xml:space="preserve">                              </w:t>
      </w:r>
    </w:p>
    <w:p>
      <w:pPr>
        <w:ind w:firstLine="843"/>
        <w:jc w:val="left"/>
      </w:pPr>
      <w:r>
        <w:rPr>
          <w:b/>
          <w:sz w:val="28"/>
        </w:rPr>
        <w:t>签订地点：</w:t>
      </w:r>
      <w:r>
        <w:rPr>
          <w:b/>
          <w:sz w:val="28"/>
          <w:u w:val="single"/>
        </w:rPr>
        <w:t>　　　</w:t>
      </w:r>
      <w:r>
        <w:rPr>
          <w:b/>
          <w:sz w:val="28"/>
          <w:u w:val="single"/>
        </w:rPr>
        <w:t>广州市</w:t>
      </w:r>
      <w:r>
        <w:rPr>
          <w:b/>
          <w:sz w:val="21"/>
          <w:u w:val="single"/>
        </w:rPr>
        <w:t>　　　　　　　　　　　　　</w:t>
      </w:r>
      <w:r>
        <w:rPr>
          <w:b/>
          <w:sz w:val="21"/>
          <w:u w:val="single"/>
        </w:rPr>
        <w:t>　</w:t>
      </w:r>
    </w:p>
    <w:p>
      <w:pPr>
        <w:ind w:firstLine="5060"/>
        <w:jc w:val="left"/>
      </w:pPr>
    </w:p>
    <w:p>
      <w:pPr>
        <w:jc w:val="center"/>
      </w:pPr>
    </w:p>
    <w:p>
      <w:pPr>
        <w:jc w:val="center"/>
      </w:pPr>
    </w:p>
    <w:p>
      <w:pPr>
        <w:jc w:val="center"/>
      </w:pPr>
    </w:p>
    <w:p>
      <w:pPr>
        <w:jc w:val="center"/>
      </w:pPr>
    </w:p>
    <w:p>
      <w:pPr>
        <w:jc w:val="center"/>
      </w:pPr>
    </w:p>
    <w:p/>
    <w:p>
      <w:pPr>
        <w:jc w:val="center"/>
      </w:pPr>
      <w:r>
        <w:rPr>
          <w:b/>
          <w:sz w:val="40"/>
        </w:rPr>
        <w:t>技术服务合同</w:t>
      </w:r>
    </w:p>
    <w:p>
      <w:pPr>
        <w:jc w:val="both"/>
      </w:pPr>
    </w:p>
    <w:p>
      <w:pPr>
        <w:jc w:val="both"/>
      </w:pPr>
      <w:r>
        <w:rPr>
          <w:sz w:val="24"/>
        </w:rPr>
        <w:t>委托方（以下简称甲方）：</w:t>
      </w:r>
      <w:r>
        <w:rPr>
          <w:sz w:val="24"/>
          <w:u w:val="single"/>
        </w:rPr>
        <w:t>广州市住房和城乡建设局</w:t>
      </w:r>
    </w:p>
    <w:p>
      <w:pPr>
        <w:jc w:val="left"/>
      </w:pPr>
      <w:r>
        <w:rPr>
          <w:sz w:val="24"/>
        </w:rPr>
        <w:t>受托方（以下简称乙方）：</w:t>
      </w:r>
      <w:r>
        <w:rPr>
          <w:sz w:val="21"/>
          <w:u w:val="single"/>
        </w:rPr>
        <w:t xml:space="preserve">                                              </w:t>
      </w:r>
    </w:p>
    <w:p>
      <w:pPr>
        <w:ind w:firstLine="480"/>
        <w:jc w:val="both"/>
      </w:pPr>
      <w:r>
        <w:rPr>
          <w:sz w:val="24"/>
        </w:rPr>
        <w:t>根据中标通知书（附件</w:t>
      </w:r>
      <w:r>
        <w:rPr>
          <w:sz w:val="21"/>
        </w:rPr>
        <w:t xml:space="preserve">            </w:t>
      </w:r>
      <w:r>
        <w:rPr>
          <w:sz w:val="24"/>
        </w:rPr>
        <w:t>），本合同甲方委托乙方就</w:t>
      </w:r>
      <w:r>
        <w:rPr>
          <w:sz w:val="24"/>
          <w:u w:val="single"/>
        </w:rPr>
        <w:t>基于完整居住社区的全生命周期科学治理体系研究项目</w:t>
      </w:r>
      <w:r>
        <w:rPr>
          <w:sz w:val="24"/>
        </w:rPr>
        <w:t>进行专项技术服务，并支付相应的技术服务报酬。根据《中华人民共和国民法典》《中华人民共和国政府采购法》，经甲乙双方协商一致，签订本合同。双方共同遵守如下条款（其他有关合同项目的特定信息由合同附件予以说明，合同附件及本项目的招标（采购）文件、投标文件等均为本合同不可分割之一部分）：</w:t>
      </w:r>
    </w:p>
    <w:p>
      <w:pPr>
        <w:jc w:val="left"/>
      </w:pPr>
      <w:r>
        <w:rPr>
          <w:b/>
          <w:sz w:val="24"/>
        </w:rPr>
        <w:t>第一条</w:t>
      </w:r>
      <w:r>
        <w:rPr>
          <w:sz w:val="24"/>
        </w:rPr>
        <w:t>：甲方委托乙方进行的服务事项具体内容如下：</w:t>
      </w:r>
    </w:p>
    <w:p>
      <w:pPr>
        <w:ind w:firstLine="480"/>
        <w:jc w:val="both"/>
      </w:pPr>
      <w:r>
        <w:rPr>
          <w:sz w:val="24"/>
        </w:rPr>
        <w:t>1.</w:t>
      </w:r>
      <w:r>
        <w:rPr>
          <w:sz w:val="24"/>
        </w:rPr>
        <w:t>技术服务的工作内容：</w:t>
      </w:r>
    </w:p>
    <w:p>
      <w:pPr>
        <w:ind w:firstLine="480"/>
        <w:jc w:val="both"/>
      </w:pPr>
      <w:r>
        <w:rPr>
          <w:sz w:val="24"/>
        </w:rPr>
        <w:t>（</w:t>
      </w:r>
      <w:r>
        <w:rPr>
          <w:sz w:val="24"/>
        </w:rPr>
        <w:t>1</w:t>
      </w:r>
      <w:r>
        <w:rPr>
          <w:sz w:val="24"/>
        </w:rPr>
        <w:t>）形成广州市完整社区现状一张图</w:t>
      </w:r>
    </w:p>
    <w:p>
      <w:pPr>
        <w:ind w:firstLine="480"/>
        <w:jc w:val="both"/>
      </w:pPr>
      <w:r>
        <w:rPr>
          <w:sz w:val="24"/>
        </w:rPr>
        <w:t>结合广州实际情况，完善及细化广东省住房和城乡建设厅下发的《居住社区设施配套情况调查表》中的内容与要求，联合市相关部门并组织各区，调查社区基本信息（边界、人口、面积等），收集整理社区基础公共服务设施、便民商业设施、市政配套基础设施、公共活动空间、物业管理及社区管理机制等信息，通过数据预处理、坐标转换、图形纠正、社区边界及社区设施数据矢量化、设施属性数据分析、数据校对核改等数据治理手段，形成广州市完整社区现状一张图，搭建完整社区数据库。</w:t>
      </w:r>
    </w:p>
    <w:p>
      <w:pPr>
        <w:ind w:firstLine="480"/>
        <w:jc w:val="both"/>
      </w:pPr>
      <w:r>
        <w:rPr>
          <w:sz w:val="24"/>
        </w:rPr>
        <w:t>（</w:t>
      </w:r>
      <w:r>
        <w:rPr>
          <w:sz w:val="24"/>
        </w:rPr>
        <w:t>2</w:t>
      </w:r>
      <w:r>
        <w:rPr>
          <w:sz w:val="24"/>
        </w:rPr>
        <w:t>）制定广州市完整社区实施方案</w:t>
      </w:r>
    </w:p>
    <w:p>
      <w:pPr>
        <w:ind w:firstLine="480"/>
        <w:jc w:val="both"/>
      </w:pPr>
      <w:r>
        <w:rPr>
          <w:sz w:val="24"/>
        </w:rPr>
        <w:t>在广州市选取不少于</w:t>
      </w:r>
      <w:r>
        <w:rPr>
          <w:sz w:val="24"/>
        </w:rPr>
        <w:t>1</w:t>
      </w:r>
      <w:r>
        <w:rPr>
          <w:sz w:val="24"/>
        </w:rPr>
        <w:t>个新建居住社区和</w:t>
      </w:r>
      <w:r>
        <w:rPr>
          <w:sz w:val="24"/>
        </w:rPr>
        <w:t>2</w:t>
      </w:r>
      <w:r>
        <w:rPr>
          <w:sz w:val="24"/>
        </w:rPr>
        <w:t>个既有居住社区工作试点作为完整社区工作试点，制定试点申报方案和实施方案，包括社区设施、公共空间场地设计、智慧社区管理运营模式实践、共同缔造活动策划等。探索创新智慧社区运营管理与服务模式，形成有稳定投资收益的可持续发展模式，有效推动形成政府主导和多元参与的共建共治共享格局。</w:t>
      </w:r>
    </w:p>
    <w:p>
      <w:pPr>
        <w:ind w:firstLine="480"/>
        <w:jc w:val="left"/>
      </w:pPr>
      <w:r>
        <w:rPr>
          <w:sz w:val="24"/>
        </w:rPr>
        <w:t>2.</w:t>
      </w:r>
      <w:r>
        <w:rPr>
          <w:sz w:val="24"/>
        </w:rPr>
        <w:t>技术服务的要求</w:t>
      </w:r>
    </w:p>
    <w:p>
      <w:pPr>
        <w:ind w:firstLine="480"/>
        <w:jc w:val="both"/>
      </w:pPr>
      <w:r>
        <w:rPr>
          <w:sz w:val="24"/>
        </w:rPr>
        <w:t>项目成果表达应当清晰、规范，符合相关法律、法规和国家有关标准的要求。项目成果提交包括纸质文件（打印装订文件）和电子文件（电子光盘）两种方式表达，须满足甲方档案归档和审核要求，符合甲方对项目成果管理数据化转换的技术要求。</w:t>
      </w:r>
    </w:p>
    <w:p>
      <w:pPr>
        <w:ind w:firstLine="480"/>
        <w:jc w:val="both"/>
      </w:pPr>
      <w:r>
        <w:rPr>
          <w:sz w:val="24"/>
        </w:rPr>
        <w:t>纸质文件要求：应做到图文并茂，准确、完整地阐述规划意图和内容，最终纸质成果提交</w:t>
      </w:r>
      <w:r>
        <w:rPr>
          <w:sz w:val="24"/>
        </w:rPr>
        <w:t>6</w:t>
      </w:r>
      <w:r>
        <w:rPr>
          <w:sz w:val="24"/>
        </w:rPr>
        <w:t>套。阶段性纸质成果（如局业务会、办公会审查成果，专家评审成果）根据具体情况确定打印数量。</w:t>
      </w:r>
    </w:p>
    <w:p>
      <w:pPr>
        <w:ind w:firstLine="480"/>
        <w:jc w:val="both"/>
      </w:pPr>
      <w:r>
        <w:rPr>
          <w:sz w:val="24"/>
        </w:rPr>
        <w:t>电子文件要求：最终电子成果提供</w:t>
      </w:r>
      <w:r>
        <w:rPr>
          <w:sz w:val="24"/>
        </w:rPr>
        <w:t>1</w:t>
      </w:r>
      <w:r>
        <w:rPr>
          <w:sz w:val="24"/>
        </w:rPr>
        <w:t>份刻录光盘，协助甲方制作成果电子文件。</w:t>
      </w:r>
    </w:p>
    <w:p>
      <w:pPr>
        <w:ind w:firstLine="482"/>
        <w:jc w:val="both"/>
      </w:pPr>
      <w:r>
        <w:rPr>
          <w:b/>
          <w:sz w:val="24"/>
        </w:rPr>
        <w:t>第二条</w:t>
      </w:r>
      <w:r>
        <w:rPr>
          <w:sz w:val="24"/>
        </w:rPr>
        <w:t>：乙方应按下列要求完成技术服务工作：</w:t>
      </w:r>
    </w:p>
    <w:p>
      <w:pPr>
        <w:ind w:firstLine="480"/>
        <w:jc w:val="both"/>
      </w:pPr>
      <w:r>
        <w:rPr>
          <w:sz w:val="24"/>
        </w:rPr>
        <w:t>1.</w:t>
      </w:r>
      <w:r>
        <w:rPr>
          <w:sz w:val="24"/>
        </w:rPr>
        <w:t>技术服务地点：广州市。</w:t>
      </w:r>
    </w:p>
    <w:p>
      <w:pPr>
        <w:ind w:firstLine="480"/>
        <w:jc w:val="both"/>
      </w:pPr>
      <w:r>
        <w:rPr>
          <w:sz w:val="24"/>
        </w:rPr>
        <w:t>2.</w:t>
      </w:r>
      <w:r>
        <w:rPr>
          <w:sz w:val="24"/>
        </w:rPr>
        <w:t>合同期限：自合同签订之日起至</w:t>
      </w:r>
      <w:r>
        <w:rPr>
          <w:sz w:val="24"/>
          <w:u w:val="single"/>
        </w:rPr>
        <w:t>2024</w:t>
      </w:r>
      <w:r>
        <w:rPr>
          <w:sz w:val="24"/>
          <w:u w:val="single"/>
        </w:rPr>
        <w:t>年</w:t>
      </w:r>
      <w:r>
        <w:rPr>
          <w:sz w:val="24"/>
          <w:u w:val="single"/>
        </w:rPr>
        <w:t>6</w:t>
      </w:r>
      <w:r>
        <w:rPr>
          <w:sz w:val="24"/>
          <w:u w:val="single"/>
        </w:rPr>
        <w:t>月</w:t>
      </w:r>
      <w:r>
        <w:rPr>
          <w:sz w:val="24"/>
          <w:u w:val="single"/>
        </w:rPr>
        <w:t>30</w:t>
      </w:r>
      <w:r>
        <w:rPr>
          <w:sz w:val="24"/>
          <w:u w:val="single"/>
        </w:rPr>
        <w:t>日</w:t>
      </w:r>
      <w:r>
        <w:rPr>
          <w:sz w:val="24"/>
        </w:rPr>
        <w:t>。具体时间若受甲方工作进度等乙方不可控的因素影响则经甲乙双方协商可将工期顺延。</w:t>
      </w:r>
    </w:p>
    <w:p>
      <w:pPr>
        <w:ind w:firstLine="480"/>
        <w:jc w:val="both"/>
      </w:pPr>
      <w:r>
        <w:rPr>
          <w:sz w:val="24"/>
        </w:rPr>
        <w:t>3.</w:t>
      </w:r>
      <w:r>
        <w:rPr>
          <w:sz w:val="24"/>
        </w:rPr>
        <w:t>工作进度安排：</w:t>
      </w:r>
    </w:p>
    <w:p>
      <w:pPr>
        <w:ind w:firstLine="480"/>
        <w:jc w:val="both"/>
      </w:pPr>
      <w:r>
        <w:rPr>
          <w:sz w:val="24"/>
        </w:rPr>
        <w:t>（</w:t>
      </w:r>
      <w:r>
        <w:rPr>
          <w:sz w:val="24"/>
        </w:rPr>
        <w:t>1</w:t>
      </w:r>
      <w:r>
        <w:rPr>
          <w:sz w:val="24"/>
        </w:rPr>
        <w:t>）第一阶段（</w:t>
      </w:r>
      <w:r>
        <w:rPr>
          <w:sz w:val="24"/>
        </w:rPr>
        <w:t>2023</w:t>
      </w:r>
      <w:r>
        <w:rPr>
          <w:sz w:val="24"/>
        </w:rPr>
        <w:t>年</w:t>
      </w:r>
      <w:r>
        <w:rPr>
          <w:sz w:val="24"/>
        </w:rPr>
        <w:t>6</w:t>
      </w:r>
      <w:r>
        <w:rPr>
          <w:sz w:val="24"/>
        </w:rPr>
        <w:t>月</w:t>
      </w:r>
      <w:r>
        <w:rPr>
          <w:sz w:val="24"/>
        </w:rPr>
        <w:t>30</w:t>
      </w:r>
      <w:r>
        <w:rPr>
          <w:sz w:val="24"/>
        </w:rPr>
        <w:t>日前）：乙方摸清完整社区工作底数，进行数据预处理、坐标转换、图形纠正，并提交社区边界矢量化数据。</w:t>
      </w:r>
    </w:p>
    <w:p>
      <w:pPr>
        <w:ind w:firstLine="480"/>
        <w:jc w:val="both"/>
      </w:pPr>
      <w:r>
        <w:rPr>
          <w:sz w:val="24"/>
        </w:rPr>
        <w:t>（</w:t>
      </w:r>
      <w:r>
        <w:rPr>
          <w:sz w:val="24"/>
        </w:rPr>
        <w:t>2</w:t>
      </w:r>
      <w:r>
        <w:rPr>
          <w:sz w:val="24"/>
        </w:rPr>
        <w:t>）第二阶段（</w:t>
      </w:r>
      <w:r>
        <w:rPr>
          <w:sz w:val="24"/>
        </w:rPr>
        <w:t>2023</w:t>
      </w:r>
      <w:r>
        <w:rPr>
          <w:sz w:val="24"/>
        </w:rPr>
        <w:t>年</w:t>
      </w:r>
      <w:r>
        <w:rPr>
          <w:sz w:val="24"/>
        </w:rPr>
        <w:t>8</w:t>
      </w:r>
      <w:r>
        <w:rPr>
          <w:sz w:val="24"/>
        </w:rPr>
        <w:t>月</w:t>
      </w:r>
      <w:r>
        <w:rPr>
          <w:sz w:val="24"/>
        </w:rPr>
        <w:t>31</w:t>
      </w:r>
      <w:r>
        <w:rPr>
          <w:sz w:val="24"/>
        </w:rPr>
        <w:t>日前）：乙方提交</w:t>
      </w:r>
      <w:r>
        <w:rPr>
          <w:sz w:val="24"/>
        </w:rPr>
        <w:t>“</w:t>
      </w:r>
      <w:r>
        <w:rPr>
          <w:sz w:val="24"/>
        </w:rPr>
        <w:t>五个一</w:t>
      </w:r>
      <w:r>
        <w:rPr>
          <w:sz w:val="24"/>
        </w:rPr>
        <w:t>”</w:t>
      </w:r>
      <w:r>
        <w:rPr>
          <w:sz w:val="24"/>
        </w:rPr>
        <w:t>设施（社区基础公共服务设施、便民商业设施、市政配套基础设施、公共活动空间、物业管理）信息表及矢量化成果，同时提交</w:t>
      </w:r>
      <w:r>
        <w:rPr>
          <w:sz w:val="24"/>
        </w:rPr>
        <w:t>1</w:t>
      </w:r>
      <w:r>
        <w:rPr>
          <w:sz w:val="24"/>
        </w:rPr>
        <w:t>个试点实施方案。</w:t>
      </w:r>
    </w:p>
    <w:p>
      <w:pPr>
        <w:ind w:firstLine="480"/>
        <w:jc w:val="both"/>
      </w:pPr>
      <w:r>
        <w:rPr>
          <w:sz w:val="24"/>
        </w:rPr>
        <w:t>（</w:t>
      </w:r>
      <w:r>
        <w:rPr>
          <w:sz w:val="24"/>
        </w:rPr>
        <w:t>3</w:t>
      </w:r>
      <w:r>
        <w:rPr>
          <w:sz w:val="24"/>
        </w:rPr>
        <w:t>）第三阶段（</w:t>
      </w:r>
      <w:r>
        <w:rPr>
          <w:sz w:val="24"/>
        </w:rPr>
        <w:t>2023</w:t>
      </w:r>
      <w:r>
        <w:rPr>
          <w:sz w:val="24"/>
        </w:rPr>
        <w:t>年</w:t>
      </w:r>
      <w:r>
        <w:rPr>
          <w:sz w:val="24"/>
        </w:rPr>
        <w:t>12</w:t>
      </w:r>
      <w:r>
        <w:rPr>
          <w:sz w:val="24"/>
        </w:rPr>
        <w:t>月</w:t>
      </w:r>
      <w:r>
        <w:rPr>
          <w:sz w:val="24"/>
        </w:rPr>
        <w:t>31</w:t>
      </w:r>
      <w:r>
        <w:rPr>
          <w:sz w:val="24"/>
        </w:rPr>
        <w:t>日前）：乙方提交所有试点实施方案，完成所有数据入库，并提交专题图电子版成果，最终成果通过甲方组织的专家评审。</w:t>
      </w:r>
    </w:p>
    <w:p>
      <w:pPr>
        <w:ind w:firstLine="480"/>
        <w:jc w:val="both"/>
      </w:pPr>
      <w:r>
        <w:rPr>
          <w:sz w:val="24"/>
        </w:rPr>
        <w:t>（</w:t>
      </w:r>
      <w:r>
        <w:rPr>
          <w:sz w:val="24"/>
        </w:rPr>
        <w:t>4</w:t>
      </w:r>
      <w:r>
        <w:rPr>
          <w:sz w:val="24"/>
        </w:rPr>
        <w:t>）第四阶段（</w:t>
      </w:r>
      <w:r>
        <w:rPr>
          <w:sz w:val="24"/>
        </w:rPr>
        <w:t>2024</w:t>
      </w:r>
      <w:r>
        <w:rPr>
          <w:sz w:val="24"/>
        </w:rPr>
        <w:t>年</w:t>
      </w:r>
      <w:r>
        <w:rPr>
          <w:sz w:val="24"/>
        </w:rPr>
        <w:t>6</w:t>
      </w:r>
      <w:r>
        <w:rPr>
          <w:sz w:val="24"/>
        </w:rPr>
        <w:t>月</w:t>
      </w:r>
      <w:r>
        <w:rPr>
          <w:sz w:val="24"/>
        </w:rPr>
        <w:t>30</w:t>
      </w:r>
      <w:r>
        <w:rPr>
          <w:sz w:val="24"/>
        </w:rPr>
        <w:t>日前）：甲方对项目进行结算审核，根据结算审核结果一次性向乙方付清结算尾款。</w:t>
      </w:r>
    </w:p>
    <w:p>
      <w:pPr>
        <w:ind w:firstLine="482"/>
        <w:jc w:val="both"/>
      </w:pPr>
      <w:r>
        <w:rPr>
          <w:b/>
          <w:sz w:val="24"/>
        </w:rPr>
        <w:t>第三条</w:t>
      </w:r>
      <w:r>
        <w:rPr>
          <w:sz w:val="24"/>
        </w:rPr>
        <w:t>：为保证乙方有效进行技术服务工作，甲方应当向乙方提供下列工作条件和协作事项：</w:t>
      </w:r>
    </w:p>
    <w:p>
      <w:pPr>
        <w:ind w:firstLine="480"/>
        <w:jc w:val="both"/>
      </w:pPr>
      <w:r>
        <w:rPr>
          <w:sz w:val="24"/>
        </w:rPr>
        <w:t>1.</w:t>
      </w:r>
      <w:r>
        <w:rPr>
          <w:sz w:val="24"/>
        </w:rPr>
        <w:t>提供工作条件：</w:t>
      </w:r>
      <w:r>
        <w:rPr>
          <w:sz w:val="24"/>
          <w:u w:val="single"/>
        </w:rPr>
        <w:t>负责技术协调、技术服务费申请、项目成果评审组织。</w:t>
      </w:r>
    </w:p>
    <w:p>
      <w:pPr>
        <w:ind w:firstLine="480"/>
        <w:jc w:val="both"/>
      </w:pPr>
      <w:r>
        <w:rPr>
          <w:sz w:val="24"/>
        </w:rPr>
        <w:t>2.</w:t>
      </w:r>
      <w:r>
        <w:rPr>
          <w:sz w:val="24"/>
        </w:rPr>
        <w:t>其他：</w:t>
      </w:r>
      <w:r>
        <w:rPr>
          <w:sz w:val="24"/>
          <w:u w:val="single"/>
        </w:rPr>
        <w:t>因甲方未履行上述协作事项，导致乙方无法按期完成合同任务的，不视为乙方违约，相应成果提交时间顺延。</w:t>
      </w:r>
    </w:p>
    <w:p>
      <w:pPr>
        <w:ind w:firstLine="482"/>
        <w:jc w:val="both"/>
      </w:pPr>
      <w:r>
        <w:rPr>
          <w:b/>
          <w:sz w:val="24"/>
        </w:rPr>
        <w:t>第四条</w:t>
      </w:r>
      <w:r>
        <w:rPr>
          <w:sz w:val="24"/>
        </w:rPr>
        <w:t>：甲方向乙方支付技术咨询服务费及支付方式为：</w:t>
      </w:r>
    </w:p>
    <w:p>
      <w:pPr>
        <w:ind w:firstLine="480"/>
        <w:jc w:val="both"/>
      </w:pPr>
      <w:r>
        <w:rPr>
          <w:sz w:val="24"/>
        </w:rPr>
        <w:t>1.</w:t>
      </w:r>
      <w:r>
        <w:rPr>
          <w:sz w:val="24"/>
        </w:rPr>
        <w:t>合同总额为：按项目中标价</w:t>
      </w:r>
      <w:r>
        <w:rPr>
          <w:sz w:val="21"/>
          <w:u w:val="single"/>
        </w:rPr>
        <w:t xml:space="preserve">       </w:t>
      </w:r>
      <w:r>
        <w:rPr>
          <w:sz w:val="24"/>
        </w:rPr>
        <w:t>元签订。</w:t>
      </w:r>
      <w:r>
        <w:rPr>
          <w:sz w:val="24"/>
        </w:rPr>
        <w:t>已综合考虑完成该项工作所需的成本、利润、税金、赶工费、图纸资料文印费、现场调研等所有费用。在中国境内外发生的与本合同执行有关的一切税费由乙方负担。</w:t>
      </w:r>
    </w:p>
    <w:p>
      <w:pPr>
        <w:ind w:firstLine="480"/>
        <w:jc w:val="both"/>
      </w:pPr>
      <w:r>
        <w:rPr>
          <w:sz w:val="24"/>
        </w:rPr>
        <w:t>项目中标价作为结算依据，收费依据参考《财政部国家测绘局关于印发〈测绘生产成本费用定额〉及有关细则的通知》（财建〔</w:t>
      </w:r>
      <w:r>
        <w:rPr>
          <w:sz w:val="24"/>
        </w:rPr>
        <w:t>2009</w:t>
      </w:r>
      <w:r>
        <w:rPr>
          <w:sz w:val="24"/>
        </w:rPr>
        <w:t>〕</w:t>
      </w:r>
      <w:r>
        <w:rPr>
          <w:sz w:val="24"/>
        </w:rPr>
        <w:t>17</w:t>
      </w:r>
      <w:r>
        <w:rPr>
          <w:sz w:val="24"/>
        </w:rPr>
        <w:t>号）、《广东省城市规划收费标准的建议》（行业指导价）等文件和相关行业收费标准。项目中标价作为结算依据，总价包干。</w:t>
      </w:r>
    </w:p>
    <w:p>
      <w:pPr>
        <w:ind w:firstLine="480"/>
        <w:jc w:val="both"/>
      </w:pPr>
      <w:r>
        <w:rPr>
          <w:sz w:val="24"/>
        </w:rPr>
        <w:t>2.</w:t>
      </w:r>
      <w:r>
        <w:rPr>
          <w:sz w:val="24"/>
        </w:rPr>
        <w:t>技术咨询服务费由甲方</w:t>
      </w:r>
      <w:r>
        <w:rPr>
          <w:sz w:val="24"/>
          <w:u w:val="single"/>
        </w:rPr>
        <w:t>分期</w:t>
      </w:r>
      <w:r>
        <w:rPr>
          <w:sz w:val="24"/>
        </w:rPr>
        <w:t>支付给乙方。</w:t>
      </w:r>
    </w:p>
    <w:p>
      <w:pPr>
        <w:ind w:firstLine="480"/>
        <w:jc w:val="both"/>
      </w:pPr>
      <w:r>
        <w:rPr>
          <w:sz w:val="24"/>
        </w:rPr>
        <w:t>3.</w:t>
      </w:r>
      <w:r>
        <w:rPr>
          <w:sz w:val="24"/>
        </w:rPr>
        <w:t>项目费用具体支付进度、支付条件和支付金额如下：</w:t>
      </w:r>
    </w:p>
    <w:p>
      <w:pPr>
        <w:ind w:firstLine="360"/>
        <w:jc w:val="both"/>
      </w:pPr>
      <w:r>
        <w:rPr>
          <w:sz w:val="24"/>
        </w:rPr>
        <w:t>（1）合同签署生效后且甲方在收到发票</w:t>
      </w:r>
      <w:r>
        <w:rPr>
          <w:sz w:val="24"/>
          <w:u w:val="single"/>
        </w:rPr>
        <w:t>5</w:t>
      </w:r>
      <w:r>
        <w:rPr>
          <w:sz w:val="24"/>
        </w:rPr>
        <w:t>个工作日内办理支付手续，甲方按合同价的30%即￥</w:t>
      </w:r>
      <w:r>
        <w:rPr>
          <w:sz w:val="24"/>
          <w:u w:val="single"/>
        </w:rPr>
        <w:t xml:space="preserve">     万</w:t>
      </w:r>
      <w:r>
        <w:rPr>
          <w:sz w:val="24"/>
        </w:rPr>
        <w:t>元整，向乙方支付合同首期费用。</w:t>
      </w:r>
    </w:p>
    <w:p>
      <w:pPr>
        <w:ind w:firstLine="360"/>
        <w:jc w:val="left"/>
      </w:pPr>
      <w:r>
        <w:rPr>
          <w:sz w:val="24"/>
        </w:rPr>
        <w:t>（2）</w:t>
      </w:r>
      <w:r>
        <w:rPr>
          <w:sz w:val="24"/>
        </w:rPr>
        <w:t>乙方提交项目</w:t>
      </w:r>
      <w:r>
        <w:rPr>
          <w:sz w:val="24"/>
        </w:rPr>
        <w:t>第二阶段</w:t>
      </w:r>
      <w:r>
        <w:rPr>
          <w:sz w:val="24"/>
        </w:rPr>
        <w:t>成果并经甲方业务处室审核确认，且甲方在收到发票后5个工作日内办理支付手续，甲方按照合同价的</w:t>
      </w:r>
      <w:r>
        <w:rPr>
          <w:sz w:val="24"/>
        </w:rPr>
        <w:t>50%</w:t>
      </w:r>
      <w:r>
        <w:rPr>
          <w:sz w:val="24"/>
        </w:rPr>
        <w:t>即￥</w:t>
      </w:r>
      <w:r>
        <w:rPr>
          <w:sz w:val="24"/>
          <w:u w:val="single"/>
        </w:rPr>
        <w:t xml:space="preserve">    万</w:t>
      </w:r>
      <w:r>
        <w:rPr>
          <w:sz w:val="24"/>
        </w:rPr>
        <w:t>元整，向乙方支付合同第二笔费用。</w:t>
      </w:r>
    </w:p>
    <w:p>
      <w:pPr>
        <w:ind w:firstLine="360"/>
        <w:jc w:val="left"/>
      </w:pPr>
      <w:r>
        <w:rPr>
          <w:sz w:val="24"/>
        </w:rPr>
        <w:t>（3）乙方提交项目第三阶段成果，成果经甲方验收确认后，且甲方在收到发票后5个工作日内办理支付手续。甲方按照合同价的10%即￥</w:t>
      </w:r>
      <w:r>
        <w:rPr>
          <w:sz w:val="24"/>
          <w:u w:val="single"/>
        </w:rPr>
        <w:t xml:space="preserve">    万</w:t>
      </w:r>
      <w:r>
        <w:rPr>
          <w:sz w:val="24"/>
        </w:rPr>
        <w:t>元整，向乙方支付合同第三笔费用。</w:t>
      </w:r>
    </w:p>
    <w:p>
      <w:pPr>
        <w:ind w:firstLine="360"/>
        <w:jc w:val="left"/>
      </w:pPr>
      <w:r>
        <w:rPr>
          <w:sz w:val="24"/>
        </w:rPr>
        <w:t>（4）甲方组织结算审核，根据结算审核结果一次性向乙方付清结算尾款。当最终结算价低于合同价时，按结算价支付尾款；当结算价高于合同价时，则按合同价结算支付尾款。如采购人实际结算尾款的比例与招标文件描述的支付比例不一致的，以采购人实际结算尾款的比例为准。</w:t>
      </w:r>
    </w:p>
    <w:p>
      <w:pPr>
        <w:ind w:firstLine="480"/>
        <w:jc w:val="left"/>
      </w:pPr>
      <w:r>
        <w:rPr>
          <w:sz w:val="24"/>
        </w:rPr>
        <w:t>本项目款项属于政府财政拨款范围，实际支付金额以部门预算安排为准。上述支付时间实际为甲方向财政部门提出办理财政支付申请手续时间。因财政支出延误不视为甲方违约，也不能作为乙方延迟履行或不履行合同义务的抗辩理由。</w:t>
      </w:r>
    </w:p>
    <w:p>
      <w:pPr>
        <w:ind w:firstLine="480"/>
        <w:jc w:val="left"/>
      </w:pPr>
      <w:r>
        <w:rPr>
          <w:sz w:val="24"/>
        </w:rPr>
        <w:t>4.</w:t>
      </w:r>
      <w:r>
        <w:rPr>
          <w:sz w:val="24"/>
        </w:rPr>
        <w:t>乙方凭以下有效的文件申请支付合同总价款。</w:t>
      </w:r>
    </w:p>
    <w:p>
      <w:pPr>
        <w:ind w:firstLine="480"/>
        <w:jc w:val="left"/>
      </w:pPr>
      <w:r>
        <w:rPr>
          <w:sz w:val="24"/>
        </w:rPr>
        <w:t>（</w:t>
      </w:r>
      <w:r>
        <w:rPr>
          <w:sz w:val="24"/>
        </w:rPr>
        <w:t>1</w:t>
      </w:r>
      <w:r>
        <w:rPr>
          <w:sz w:val="24"/>
        </w:rPr>
        <w:t>）合同；</w:t>
      </w:r>
    </w:p>
    <w:p>
      <w:pPr>
        <w:ind w:firstLine="480"/>
        <w:jc w:val="left"/>
      </w:pPr>
      <w:r>
        <w:rPr>
          <w:sz w:val="24"/>
        </w:rPr>
        <w:t>（</w:t>
      </w:r>
      <w:r>
        <w:rPr>
          <w:sz w:val="24"/>
        </w:rPr>
        <w:t>2</w:t>
      </w:r>
      <w:r>
        <w:rPr>
          <w:sz w:val="24"/>
        </w:rPr>
        <w:t>）请款函；</w:t>
      </w:r>
    </w:p>
    <w:p>
      <w:pPr>
        <w:ind w:firstLine="480"/>
        <w:jc w:val="left"/>
      </w:pPr>
      <w:r>
        <w:rPr>
          <w:sz w:val="24"/>
        </w:rPr>
        <w:t>（</w:t>
      </w:r>
      <w:r>
        <w:rPr>
          <w:sz w:val="24"/>
        </w:rPr>
        <w:t>3</w:t>
      </w:r>
      <w:r>
        <w:rPr>
          <w:sz w:val="24"/>
        </w:rPr>
        <w:t>）乙方开具的正式发票；</w:t>
      </w:r>
    </w:p>
    <w:p>
      <w:pPr>
        <w:ind w:firstLine="480"/>
        <w:jc w:val="left"/>
      </w:pPr>
      <w:r>
        <w:rPr>
          <w:sz w:val="24"/>
        </w:rPr>
        <w:t>（</w:t>
      </w:r>
      <w:r>
        <w:rPr>
          <w:sz w:val="24"/>
        </w:rPr>
        <w:t>4</w:t>
      </w:r>
      <w:r>
        <w:rPr>
          <w:sz w:val="24"/>
        </w:rPr>
        <w:t>）其它支付材料。</w:t>
      </w:r>
    </w:p>
    <w:p>
      <w:pPr>
        <w:ind w:firstLine="480"/>
        <w:jc w:val="left"/>
      </w:pPr>
      <w:r>
        <w:rPr>
          <w:sz w:val="24"/>
        </w:rPr>
        <w:t>5.</w:t>
      </w:r>
      <w:r>
        <w:rPr>
          <w:sz w:val="24"/>
        </w:rPr>
        <w:t>开户银行名称、地址和账号信息如下：</w:t>
      </w:r>
    </w:p>
    <w:p>
      <w:pPr>
        <w:ind w:firstLine="480"/>
        <w:jc w:val="both"/>
      </w:pPr>
      <w:r>
        <w:rPr>
          <w:sz w:val="24"/>
        </w:rPr>
        <w:t>户</w:t>
      </w:r>
      <w:r>
        <w:rPr>
          <w:sz w:val="21"/>
        </w:rPr>
        <w:t xml:space="preserve">   </w:t>
      </w:r>
      <w:r>
        <w:rPr>
          <w:sz w:val="24"/>
        </w:rPr>
        <w:t>名：</w:t>
      </w:r>
      <w:r>
        <w:rPr>
          <w:sz w:val="21"/>
        </w:rPr>
        <w:t xml:space="preserve">                                                            　　　　　　　　　　</w:t>
      </w:r>
    </w:p>
    <w:p>
      <w:pPr>
        <w:ind w:firstLine="480"/>
        <w:jc w:val="both"/>
      </w:pPr>
      <w:r>
        <w:rPr>
          <w:sz w:val="24"/>
        </w:rPr>
        <w:t>开户银行：</w:t>
      </w:r>
      <w:r>
        <w:rPr>
          <w:sz w:val="21"/>
        </w:rPr>
        <w:t xml:space="preserve">                                                        　　　　　　　　　　　　</w:t>
      </w:r>
    </w:p>
    <w:p>
      <w:pPr>
        <w:ind w:firstLine="480"/>
        <w:jc w:val="both"/>
      </w:pPr>
      <w:r>
        <w:rPr>
          <w:sz w:val="24"/>
        </w:rPr>
        <w:t>账</w:t>
      </w:r>
      <w:r>
        <w:rPr>
          <w:sz w:val="21"/>
        </w:rPr>
        <w:t xml:space="preserve">   </w:t>
      </w:r>
      <w:r>
        <w:rPr>
          <w:sz w:val="24"/>
        </w:rPr>
        <w:t>号：</w:t>
      </w:r>
      <w:r>
        <w:rPr>
          <w:sz w:val="21"/>
        </w:rPr>
        <w:t xml:space="preserve">                                                             　　　　　　　</w:t>
      </w:r>
    </w:p>
    <w:p>
      <w:pPr>
        <w:ind w:firstLine="480"/>
        <w:jc w:val="both"/>
      </w:pPr>
      <w:r>
        <w:rPr>
          <w:sz w:val="24"/>
        </w:rPr>
        <w:t>地</w:t>
      </w:r>
      <w:r>
        <w:rPr>
          <w:sz w:val="21"/>
        </w:rPr>
        <w:t xml:space="preserve">   </w:t>
      </w:r>
      <w:r>
        <w:rPr>
          <w:sz w:val="24"/>
        </w:rPr>
        <w:t>址：</w:t>
      </w:r>
      <w:r>
        <w:rPr>
          <w:sz w:val="21"/>
        </w:rPr>
        <w:t xml:space="preserve">                                                             　　　　　　　　　　　</w:t>
      </w:r>
    </w:p>
    <w:p>
      <w:pPr>
        <w:ind w:firstLine="480"/>
        <w:jc w:val="left"/>
      </w:pPr>
      <w:r>
        <w:rPr>
          <w:sz w:val="24"/>
        </w:rPr>
        <w:t>甲方向乙方支付上述费用时，乙方需提供等额、合法的发票，因乙方提供的发票不真实、不合法给甲方造成的一切损失及风险均由乙方承担。</w:t>
      </w:r>
    </w:p>
    <w:p>
      <w:pPr>
        <w:ind w:firstLine="480"/>
        <w:jc w:val="both"/>
      </w:pPr>
      <w:r>
        <w:rPr>
          <w:sz w:val="24"/>
        </w:rPr>
        <w:t>6.</w:t>
      </w:r>
      <w:r>
        <w:rPr>
          <w:sz w:val="24"/>
        </w:rPr>
        <w:t>乙方提供合法有效的技术咨询服务费发票是甲方付款的前提条件，逾期不提供的，甲方可以顺延付款时间并无需承担任何责任。</w:t>
      </w:r>
    </w:p>
    <w:p>
      <w:pPr>
        <w:ind w:firstLine="482"/>
        <w:jc w:val="both"/>
      </w:pPr>
      <w:r>
        <w:rPr>
          <w:b/>
          <w:sz w:val="24"/>
        </w:rPr>
        <w:t>第五条</w:t>
      </w:r>
      <w:r>
        <w:rPr>
          <w:sz w:val="24"/>
        </w:rPr>
        <w:t>：双方确定以下列标准和方式对乙方的技术服务工作成果进行验收：</w:t>
      </w:r>
    </w:p>
    <w:p>
      <w:pPr>
        <w:ind w:firstLine="480"/>
        <w:jc w:val="both"/>
      </w:pPr>
      <w:r>
        <w:rPr>
          <w:sz w:val="24"/>
        </w:rPr>
        <w:t>1</w:t>
      </w:r>
      <w:r>
        <w:rPr>
          <w:sz w:val="24"/>
        </w:rPr>
        <w:t>．乙方完成技术服务工作的形式：</w:t>
      </w:r>
      <w:r>
        <w:rPr>
          <w:sz w:val="24"/>
          <w:u w:val="single"/>
        </w:rPr>
        <w:t>技术服务的工作内容和要求</w:t>
      </w:r>
      <w:r>
        <w:rPr>
          <w:sz w:val="24"/>
        </w:rPr>
        <w:t>。</w:t>
      </w:r>
    </w:p>
    <w:p>
      <w:pPr>
        <w:ind w:firstLine="480"/>
        <w:jc w:val="both"/>
      </w:pPr>
      <w:r>
        <w:rPr>
          <w:sz w:val="24"/>
        </w:rPr>
        <w:t>2</w:t>
      </w:r>
      <w:r>
        <w:rPr>
          <w:sz w:val="24"/>
        </w:rPr>
        <w:t>．技术服务工作成果的验收标准：</w:t>
      </w:r>
      <w:r>
        <w:rPr>
          <w:sz w:val="24"/>
          <w:u w:val="single"/>
        </w:rPr>
        <w:t>（1）《中华人民共和国城乡规划法》、《广东省城乡规划条例》、《广州市城乡规划技术规定》及其他法规、规范要求；（2）国家及行业现行标准。</w:t>
      </w:r>
    </w:p>
    <w:p>
      <w:pPr>
        <w:ind w:firstLine="480"/>
        <w:jc w:val="both"/>
      </w:pPr>
      <w:r>
        <w:rPr>
          <w:sz w:val="24"/>
        </w:rPr>
        <w:t>3</w:t>
      </w:r>
      <w:r>
        <w:rPr>
          <w:sz w:val="24"/>
        </w:rPr>
        <w:t>．技术服务工作成果的验收方法：</w:t>
      </w:r>
      <w:r>
        <w:rPr>
          <w:sz w:val="24"/>
          <w:u w:val="single"/>
        </w:rPr>
        <w:t>组织专家评审，根据评审意见修改完善形成最终成果。</w:t>
      </w:r>
    </w:p>
    <w:p>
      <w:pPr>
        <w:ind w:firstLine="480"/>
        <w:jc w:val="both"/>
      </w:pPr>
      <w:r>
        <w:rPr>
          <w:sz w:val="24"/>
        </w:rPr>
        <w:t>4</w:t>
      </w:r>
      <w:r>
        <w:rPr>
          <w:sz w:val="24"/>
        </w:rPr>
        <w:t>．验收的时间和地点：</w:t>
      </w:r>
      <w:r>
        <w:rPr>
          <w:sz w:val="24"/>
          <w:u w:val="single"/>
        </w:rPr>
        <w:t>2023年12月31日前完成验收，地点由甲方自行确定</w:t>
      </w:r>
      <w:r>
        <w:rPr>
          <w:sz w:val="24"/>
        </w:rPr>
        <w:t>。</w:t>
      </w:r>
    </w:p>
    <w:p>
      <w:pPr>
        <w:ind w:firstLine="482"/>
        <w:jc w:val="both"/>
      </w:pPr>
      <w:r>
        <w:rPr>
          <w:b/>
          <w:sz w:val="24"/>
        </w:rPr>
        <w:t>第六条</w:t>
      </w:r>
      <w:r>
        <w:rPr>
          <w:sz w:val="24"/>
        </w:rPr>
        <w:t>：乙方确定因履行本合同应遵守的保密义务如下：</w:t>
      </w:r>
    </w:p>
    <w:p>
      <w:pPr>
        <w:ind w:firstLine="480"/>
        <w:jc w:val="both"/>
      </w:pPr>
      <w:r>
        <w:rPr>
          <w:sz w:val="24"/>
        </w:rPr>
        <w:t>1.</w:t>
      </w:r>
      <w:r>
        <w:rPr>
          <w:sz w:val="24"/>
        </w:rPr>
        <w:t>保密内容（包括技术信息和经营信息）：</w:t>
      </w:r>
      <w:r>
        <w:rPr>
          <w:sz w:val="24"/>
          <w:u w:val="single"/>
        </w:rPr>
        <w:t>与本次工作有关的信息和资料。</w:t>
      </w:r>
    </w:p>
    <w:p>
      <w:pPr>
        <w:ind w:firstLine="480"/>
        <w:jc w:val="both"/>
      </w:pPr>
      <w:r>
        <w:rPr>
          <w:sz w:val="24"/>
        </w:rPr>
        <w:t>2.</w:t>
      </w:r>
      <w:r>
        <w:rPr>
          <w:sz w:val="24"/>
        </w:rPr>
        <w:t>涉密人员范围：</w:t>
      </w:r>
      <w:r>
        <w:rPr>
          <w:sz w:val="24"/>
          <w:u w:val="single"/>
        </w:rPr>
        <w:t>参与本次工作的全体人员。</w:t>
      </w:r>
    </w:p>
    <w:p>
      <w:pPr>
        <w:ind w:firstLine="480"/>
        <w:jc w:val="both"/>
      </w:pPr>
      <w:r>
        <w:rPr>
          <w:sz w:val="24"/>
        </w:rPr>
        <w:t>3.</w:t>
      </w:r>
      <w:r>
        <w:rPr>
          <w:sz w:val="24"/>
        </w:rPr>
        <w:t>保密期限：</w:t>
      </w:r>
      <w:r>
        <w:rPr>
          <w:sz w:val="24"/>
          <w:u w:val="single"/>
        </w:rPr>
        <w:t>对双方在合作过程中形成的及甲方提供的相关资料和信息，双方承诺保密，但依法应当公开的除外。各方保密责任期为永久，不论本合同是否无效、被撤销、中止、变更、解除或终止，本合同关于保密要求的条款将持续有效。</w:t>
      </w:r>
    </w:p>
    <w:p>
      <w:pPr>
        <w:ind w:firstLine="480"/>
        <w:jc w:val="both"/>
      </w:pPr>
      <w:r>
        <w:rPr>
          <w:sz w:val="24"/>
        </w:rPr>
        <w:t>4.</w:t>
      </w:r>
      <w:r>
        <w:rPr>
          <w:sz w:val="24"/>
        </w:rPr>
        <w:t>泄密责任：</w:t>
      </w:r>
      <w:r>
        <w:rPr>
          <w:sz w:val="24"/>
          <w:u w:val="single"/>
        </w:rPr>
        <w:t>按照法律规定承担有关责任。</w:t>
      </w:r>
    </w:p>
    <w:p>
      <w:pPr>
        <w:ind w:firstLine="480"/>
        <w:jc w:val="both"/>
      </w:pPr>
      <w:r>
        <w:rPr>
          <w:sz w:val="24"/>
        </w:rPr>
        <w:t>5.</w:t>
      </w:r>
      <w:r>
        <w:rPr>
          <w:sz w:val="24"/>
        </w:rPr>
        <w:t>因履行本合同产生的数据、资料、技术文档等成果，均归甲方所有，未经甲方书面同意，乙方不得擅自复制、留存或提供给任何第三方。</w:t>
      </w:r>
    </w:p>
    <w:p>
      <w:pPr>
        <w:ind w:firstLine="482"/>
        <w:jc w:val="both"/>
      </w:pPr>
      <w:r>
        <w:rPr>
          <w:b/>
          <w:sz w:val="24"/>
        </w:rPr>
        <w:t>第七条</w:t>
      </w:r>
      <w:r>
        <w:rPr>
          <w:sz w:val="24"/>
        </w:rPr>
        <w:t>：双方确定：</w:t>
      </w:r>
    </w:p>
    <w:p>
      <w:pPr>
        <w:ind w:firstLine="480"/>
        <w:jc w:val="both"/>
      </w:pPr>
      <w:r>
        <w:rPr>
          <w:sz w:val="24"/>
        </w:rPr>
        <w:t>甲方向乙方支付完本合同项下的全部费用后，合同项下成果的知识产权（署名权除外）归甲方所有。乙方提交的成果若对任何第三方的专利权、商标权、著作权或其他受保护的权利的侵犯，则所引起的一切索赔和争诉由乙方承担并负责支付一切的损害赔偿费、诉讼或裁决费和其他费用。合同期满或终止不影响知识产权条款的约定。</w:t>
      </w:r>
    </w:p>
    <w:p>
      <w:pPr>
        <w:ind w:firstLine="480"/>
        <w:jc w:val="both"/>
      </w:pPr>
      <w:r>
        <w:rPr>
          <w:sz w:val="24"/>
        </w:rPr>
        <w:t>本合同所称项目成果包括阶段性成果和最终成果。</w:t>
      </w:r>
    </w:p>
    <w:p>
      <w:pPr>
        <w:ind w:firstLine="480"/>
        <w:jc w:val="both"/>
      </w:pPr>
      <w:r>
        <w:rPr>
          <w:sz w:val="24"/>
        </w:rPr>
        <w:t>未经甲方书面同意，乙方不得以任何方式使用项目成果，亦不得以任何方式转让或者许可他人使用该项目成果。乙方为内部学习、交流、出版、报奖等需要而使用相关的成果的须经甲方同意。</w:t>
      </w:r>
    </w:p>
    <w:p>
      <w:pPr>
        <w:ind w:firstLine="482"/>
        <w:jc w:val="both"/>
      </w:pPr>
      <w:r>
        <w:rPr>
          <w:b/>
          <w:sz w:val="24"/>
        </w:rPr>
        <w:t>第八条</w:t>
      </w:r>
      <w:r>
        <w:rPr>
          <w:sz w:val="24"/>
        </w:rPr>
        <w:t>：双方确定，按以下约定承担各自的违约责任：</w:t>
      </w:r>
    </w:p>
    <w:p>
      <w:pPr>
        <w:ind w:firstLine="480"/>
        <w:jc w:val="both"/>
      </w:pPr>
      <w:r>
        <w:rPr>
          <w:sz w:val="24"/>
        </w:rPr>
        <w:t>1.</w:t>
      </w:r>
      <w:r>
        <w:rPr>
          <w:sz w:val="24"/>
        </w:rPr>
        <w:t>乙方因自身原因未能按本合同约定的时间交付合同成果，从逾期之日起每日按该阶段应付技术咨询服务费3‰的数额向甲方支付违约金；逾期15日以上（含15日）的，甲方有权拒绝乙方服务并解除合同，同时乙方应向甲方返还已收取的合同费用并向甲方支付本合同总价30%的违约金，如违约金不足以弥补给甲方造成的经济损失的，乙方应继续承担赔偿责任。</w:t>
      </w:r>
    </w:p>
    <w:p>
      <w:pPr>
        <w:ind w:firstLine="480"/>
        <w:jc w:val="both"/>
      </w:pPr>
      <w:r>
        <w:rPr>
          <w:sz w:val="24"/>
        </w:rPr>
        <w:t>2.</w:t>
      </w:r>
      <w:r>
        <w:rPr>
          <w:sz w:val="24"/>
        </w:rPr>
        <w:t>乙方提供的服务不符合合同约定、服务成果不能被甲方确认通过，乙方应在甲方指定的合理期限内修改，直至甲方验收通过。由此造成延迟提交的，乙方还应按前款约定承担逾期违约责任。经修改两次仍不能达到约定验收标准的，甲方有权拒绝乙方服务并解除合同，同时乙方应向甲方返还已收取的款项并按照合同总金额的10%向甲方支付违约金。 违约金不足以弥补给甲方造成的经济损失的，乙方应继续承担赔偿责任。</w:t>
      </w:r>
    </w:p>
    <w:p>
      <w:pPr>
        <w:ind w:firstLine="480"/>
        <w:jc w:val="both"/>
      </w:pPr>
      <w:r>
        <w:rPr>
          <w:sz w:val="24"/>
        </w:rPr>
        <w:t>3.</w:t>
      </w:r>
      <w:r>
        <w:rPr>
          <w:sz w:val="24"/>
        </w:rPr>
        <w:t>甲方应依合同规定时间内，向乙方支付合同金额。甲方未按照合同约定的时间和金额向乙方支付技术咨询服务费的，应当从逾期之日起，每日向乙方支付该阶段技术咨询服务费应付金额1‰的违约金。</w:t>
      </w:r>
    </w:p>
    <w:p>
      <w:pPr>
        <w:ind w:firstLine="480"/>
        <w:jc w:val="both"/>
      </w:pPr>
      <w:r>
        <w:rPr>
          <w:sz w:val="24"/>
        </w:rPr>
        <w:t>4.</w:t>
      </w:r>
      <w:r>
        <w:rPr>
          <w:sz w:val="24"/>
        </w:rPr>
        <w:t>甲方无正当理由未能按本合同约定接受服务成果，乙方有权要求甲方按已完成工作量支付合同约定款项。</w:t>
      </w:r>
    </w:p>
    <w:p>
      <w:pPr>
        <w:ind w:firstLine="480"/>
        <w:jc w:val="both"/>
      </w:pPr>
      <w:r>
        <w:rPr>
          <w:sz w:val="24"/>
        </w:rPr>
        <w:t>5.</w:t>
      </w:r>
      <w:r>
        <w:rPr>
          <w:sz w:val="24"/>
        </w:rPr>
        <w:t>本合同所称损失范围，包括但不限于守约方因此遭受的直接损失、间接损失、律师费、诉讼费、保全费、差旅费、担保费等费用损失。</w:t>
      </w:r>
    </w:p>
    <w:p>
      <w:pPr>
        <w:ind w:firstLine="482"/>
        <w:jc w:val="both"/>
      </w:pPr>
      <w:r>
        <w:rPr>
          <w:b/>
          <w:sz w:val="24"/>
        </w:rPr>
        <w:t>第九条</w:t>
      </w:r>
      <w:r>
        <w:rPr>
          <w:sz w:val="24"/>
        </w:rPr>
        <w:t>：双方确定，在本合同有效期内，甲方指定</w:t>
      </w:r>
      <w:r>
        <w:rPr>
          <w:sz w:val="24"/>
          <w:u w:val="single"/>
        </w:rPr>
        <w:t>　</w:t>
      </w:r>
      <w:r>
        <w:rPr>
          <w:sz w:val="21"/>
          <w:u w:val="single"/>
        </w:rPr>
        <w:t>　</w:t>
      </w:r>
      <w:r>
        <w:rPr>
          <w:sz w:val="24"/>
        </w:rPr>
        <w:t>为甲方项目联系人（联系电话：</w:t>
      </w:r>
      <w:r>
        <w:rPr>
          <w:sz w:val="24"/>
          <w:u w:val="single"/>
        </w:rPr>
        <w:t>　</w:t>
      </w:r>
      <w:r>
        <w:rPr>
          <w:sz w:val="21"/>
          <w:u w:val="single"/>
        </w:rPr>
        <w:t xml:space="preserve">               </w:t>
      </w:r>
      <w:r>
        <w:rPr>
          <w:sz w:val="24"/>
        </w:rPr>
        <w:t>），乙方指定</w:t>
      </w:r>
      <w:r>
        <w:rPr>
          <w:sz w:val="24"/>
          <w:u w:val="single"/>
        </w:rPr>
        <w:t>　</w:t>
      </w:r>
      <w:r>
        <w:rPr>
          <w:sz w:val="21"/>
          <w:u w:val="single"/>
        </w:rPr>
        <w:t xml:space="preserve">      </w:t>
      </w:r>
      <w:r>
        <w:rPr>
          <w:sz w:val="24"/>
        </w:rPr>
        <w:t>为乙方项目联系人（联系电话：</w:t>
      </w:r>
      <w:r>
        <w:rPr>
          <w:i/>
          <w:sz w:val="24"/>
          <w:u w:val="single"/>
        </w:rPr>
        <w:t>　</w:t>
      </w:r>
      <w:r>
        <w:rPr>
          <w:sz w:val="21"/>
          <w:u w:val="single"/>
        </w:rPr>
        <w:t xml:space="preserve">                </w:t>
      </w:r>
      <w:r>
        <w:rPr>
          <w:sz w:val="24"/>
        </w:rPr>
        <w:t>）。项目联系人承担以下责任：</w:t>
      </w:r>
    </w:p>
    <w:p>
      <w:pPr>
        <w:ind w:firstLine="480"/>
        <w:jc w:val="both"/>
      </w:pPr>
      <w:r>
        <w:rPr>
          <w:sz w:val="24"/>
        </w:rPr>
        <w:t>1.</w:t>
      </w:r>
      <w:r>
        <w:rPr>
          <w:sz w:val="24"/>
          <w:u w:val="single"/>
        </w:rPr>
        <w:t>负责合同的履行；</w:t>
      </w:r>
    </w:p>
    <w:p>
      <w:pPr>
        <w:ind w:firstLine="480"/>
        <w:jc w:val="both"/>
      </w:pPr>
      <w:r>
        <w:rPr>
          <w:sz w:val="24"/>
        </w:rPr>
        <w:t>2.</w:t>
      </w:r>
      <w:r>
        <w:rPr>
          <w:sz w:val="24"/>
          <w:u w:val="single"/>
        </w:rPr>
        <w:t>项目双方的协调和联系。</w:t>
      </w:r>
    </w:p>
    <w:p>
      <w:pPr>
        <w:ind w:firstLine="482"/>
        <w:jc w:val="both"/>
      </w:pPr>
      <w:r>
        <w:rPr>
          <w:b/>
          <w:sz w:val="24"/>
        </w:rPr>
        <w:t>第十条</w:t>
      </w:r>
      <w:r>
        <w:rPr>
          <w:sz w:val="24"/>
        </w:rPr>
        <w:t>：</w:t>
      </w:r>
      <w:r>
        <w:rPr>
          <w:b/>
          <w:sz w:val="24"/>
        </w:rPr>
        <w:t>不可抗力</w:t>
      </w:r>
    </w:p>
    <w:p>
      <w:pPr>
        <w:ind w:firstLine="480"/>
        <w:jc w:val="both"/>
      </w:pPr>
      <w:r>
        <w:rPr>
          <w:sz w:val="24"/>
        </w:rPr>
        <w:t>1.</w:t>
      </w:r>
      <w:r>
        <w:rPr>
          <w:sz w:val="24"/>
        </w:rPr>
        <w:t>因不可抗力（包括但不限于履行期间内发生的不可预见、不可避免、不可克服的事件或事故）以及政府行为、政策调整的原因使得本协议无法正常履行甚至不能履行，遭受影响的一方应于上述原因发生后10日内书面通知其他方，可不承担相应责任。如乙方未开展工作，应退还甲方已支付款项；如乙方已经开展工作，双方据实结算已完成工作量。</w:t>
      </w:r>
    </w:p>
    <w:p>
      <w:pPr>
        <w:ind w:firstLine="480"/>
        <w:jc w:val="both"/>
      </w:pPr>
      <w:r>
        <w:rPr>
          <w:sz w:val="24"/>
        </w:rPr>
        <w:t>2.</w:t>
      </w:r>
      <w:r>
        <w:rPr>
          <w:sz w:val="24"/>
        </w:rPr>
        <w:t>在出现不可抗力或政府行为的情况下，双方均应采取适当措施减轻损失。任何一方因未采取措施或采取措施不当导致损失扩大的，应当对扩大的损失承担责任。</w:t>
      </w:r>
    </w:p>
    <w:p>
      <w:pPr>
        <w:ind w:firstLine="482"/>
        <w:jc w:val="both"/>
      </w:pPr>
      <w:r>
        <w:rPr>
          <w:b/>
          <w:sz w:val="24"/>
        </w:rPr>
        <w:t>第十一条</w:t>
      </w:r>
      <w:r>
        <w:rPr>
          <w:sz w:val="24"/>
        </w:rPr>
        <w:t>：</w:t>
      </w:r>
      <w:r>
        <w:rPr>
          <w:b/>
          <w:sz w:val="24"/>
        </w:rPr>
        <w:t>争议的解决</w:t>
      </w:r>
    </w:p>
    <w:p>
      <w:pPr>
        <w:ind w:firstLine="480"/>
        <w:jc w:val="both"/>
      </w:pPr>
      <w:r>
        <w:rPr>
          <w:sz w:val="24"/>
        </w:rPr>
        <w:t>1.</w:t>
      </w:r>
      <w:r>
        <w:rPr>
          <w:sz w:val="24"/>
        </w:rPr>
        <w:t>因本合同（或协议）发生的纠纷，双方应当友好协商解决，协商不成的，任何一方有权向甲方所在地人民法院提起诉讼，属于专属管辖的应按法律的规定执行。</w:t>
      </w:r>
    </w:p>
    <w:p>
      <w:pPr>
        <w:ind w:firstLine="480"/>
        <w:jc w:val="both"/>
      </w:pPr>
      <w:r>
        <w:rPr>
          <w:sz w:val="24"/>
        </w:rPr>
        <w:t>2.</w:t>
      </w:r>
      <w:r>
        <w:rPr>
          <w:sz w:val="24"/>
        </w:rPr>
        <w:t>本合同任何一方违约的，守约方除可以要求对方承担本合同约定的违约责任，还可要求违约方承担守约方因追究对方违约责任所支付的合理费用，包括但不限于诉讼费、律师费、鉴定费等。</w:t>
      </w:r>
    </w:p>
    <w:p>
      <w:pPr>
        <w:ind w:firstLine="480"/>
        <w:jc w:val="both"/>
      </w:pPr>
      <w:r>
        <w:rPr>
          <w:b/>
          <w:sz w:val="24"/>
        </w:rPr>
        <w:t>第十二条</w:t>
      </w:r>
      <w:r>
        <w:rPr>
          <w:sz w:val="24"/>
        </w:rPr>
        <w:t>：其他：</w:t>
      </w:r>
    </w:p>
    <w:p>
      <w:pPr>
        <w:ind w:firstLine="480"/>
        <w:jc w:val="both"/>
      </w:pPr>
      <w:r>
        <w:rPr>
          <w:sz w:val="24"/>
        </w:rPr>
        <w:t>1.</w:t>
      </w:r>
      <w:r>
        <w:rPr>
          <w:sz w:val="24"/>
        </w:rPr>
        <w:t>本合同所有附件、招标文件、投标文件、中标通知书均为合同的有效组成部分，与本合同具有同等法律效力。</w:t>
      </w:r>
    </w:p>
    <w:p>
      <w:pPr>
        <w:ind w:firstLine="480"/>
        <w:jc w:val="both"/>
      </w:pPr>
      <w:r>
        <w:rPr>
          <w:sz w:val="24"/>
        </w:rPr>
        <w:t>2.</w:t>
      </w:r>
      <w:r>
        <w:rPr>
          <w:sz w:val="24"/>
        </w:rPr>
        <w:t>在执行本合同的过程中，所有经双方签署确认的文件（包括会议纪要、补充协议、往来信函）即成为本合同的有效组成部分。</w:t>
      </w:r>
    </w:p>
    <w:p>
      <w:pPr>
        <w:ind w:firstLine="480"/>
        <w:jc w:val="both"/>
      </w:pPr>
      <w:r>
        <w:rPr>
          <w:sz w:val="24"/>
        </w:rPr>
        <w:t>3.</w:t>
      </w:r>
      <w:r>
        <w:rPr>
          <w:sz w:val="24"/>
        </w:rPr>
        <w:t>如一方地址、电话、传真号码有变更，应在变更当日内书面通知对方，否则，应承担相应责任。</w:t>
      </w:r>
    </w:p>
    <w:p>
      <w:pPr>
        <w:ind w:firstLine="480"/>
        <w:jc w:val="both"/>
      </w:pPr>
      <w:r>
        <w:rPr>
          <w:sz w:val="24"/>
        </w:rPr>
        <w:t>4.</w:t>
      </w:r>
      <w:r>
        <w:rPr>
          <w:sz w:val="24"/>
        </w:rPr>
        <w:t>除甲方事先书面同意外，乙方不得部分或全部转让其应履行的合同项下的义务。</w:t>
      </w:r>
    </w:p>
    <w:p>
      <w:pPr>
        <w:ind w:firstLine="482"/>
        <w:jc w:val="both"/>
      </w:pPr>
      <w:r>
        <w:rPr>
          <w:b/>
          <w:sz w:val="24"/>
        </w:rPr>
        <w:t>第十三条</w:t>
      </w:r>
      <w:r>
        <w:rPr>
          <w:sz w:val="24"/>
        </w:rPr>
        <w:t>：本合同一式</w:t>
      </w:r>
      <w:r>
        <w:rPr>
          <w:sz w:val="24"/>
          <w:u w:val="single"/>
        </w:rPr>
        <w:t>陆</w:t>
      </w:r>
      <w:r>
        <w:rPr>
          <w:sz w:val="24"/>
        </w:rPr>
        <w:t>份，甲方执叁份，乙方执叁份，具有同等法律效力。</w:t>
      </w:r>
    </w:p>
    <w:p>
      <w:pPr>
        <w:ind w:firstLine="482"/>
        <w:jc w:val="both"/>
      </w:pPr>
      <w:r>
        <w:rPr>
          <w:b/>
          <w:sz w:val="24"/>
        </w:rPr>
        <w:t>第十四条</w:t>
      </w:r>
      <w:r>
        <w:rPr>
          <w:sz w:val="24"/>
        </w:rPr>
        <w:t>：</w:t>
      </w:r>
      <w:r>
        <w:rPr>
          <w:sz w:val="24"/>
        </w:rPr>
        <w:t>本合同自双方法定代表人或签约代表签字并盖章之日起生效。本合同未尽事宜，双方可以签订补充协议继续完善，补充协议是本合同的组成部分，与本合同具有相同法律效力。</w:t>
      </w:r>
    </w:p>
    <w:p>
      <w:pPr>
        <w:ind w:firstLine="456"/>
        <w:jc w:val="both"/>
      </w:pPr>
    </w:p>
    <w:p>
      <w:pPr>
        <w:ind w:firstLine="456"/>
        <w:jc w:val="both"/>
      </w:pPr>
    </w:p>
    <w:p>
      <w:pPr>
        <w:ind w:firstLine="480"/>
        <w:jc w:val="left"/>
      </w:pPr>
      <w:r>
        <w:rPr>
          <w:sz w:val="24"/>
        </w:rPr>
        <w:t>（以下为签字页，无正文）</w:t>
      </w:r>
    </w:p>
    <w:p>
      <w:pPr>
        <w:ind w:firstLine="480"/>
        <w:jc w:val="left"/>
      </w:pPr>
    </w:p>
    <w:p>
      <w:pPr>
        <w:ind w:firstLine="480"/>
        <w:jc w:val="left"/>
      </w:pPr>
    </w:p>
    <w:p>
      <w:pPr>
        <w:jc w:val="left"/>
      </w:pPr>
      <w:r>
        <w:rPr>
          <w:sz w:val="24"/>
        </w:rPr>
        <w:t>甲方：广州市住房和城乡建设局        乙方：</w:t>
      </w:r>
    </w:p>
    <w:p>
      <w:pPr>
        <w:jc w:val="left"/>
      </w:pPr>
      <w:r>
        <w:rPr>
          <w:sz w:val="24"/>
        </w:rPr>
        <w:t xml:space="preserve">               (盖章)                                  (盖章)</w:t>
      </w:r>
    </w:p>
    <w:p>
      <w:pPr>
        <w:jc w:val="left"/>
      </w:pPr>
    </w:p>
    <w:p>
      <w:pPr>
        <w:jc w:val="left"/>
      </w:pPr>
      <w:r>
        <w:rPr>
          <w:sz w:val="24"/>
        </w:rPr>
        <w:t>法定代表人或签约代表　　　　　　　　法定代表人或签约代表</w:t>
      </w:r>
    </w:p>
    <w:p>
      <w:pPr>
        <w:jc w:val="left"/>
      </w:pPr>
      <w:r>
        <w:rPr>
          <w:sz w:val="24"/>
        </w:rPr>
        <w:t>（签字）：    　　　　　　　　　　（签字）：</w:t>
      </w:r>
    </w:p>
    <w:p>
      <w:pPr>
        <w:jc w:val="left"/>
      </w:pPr>
      <w:r>
        <w:rPr>
          <w:sz w:val="21"/>
        </w:rPr>
        <w:t xml:space="preserve">  </w:t>
      </w:r>
    </w:p>
    <w:p>
      <w:pPr>
        <w:jc w:val="left"/>
      </w:pPr>
    </w:p>
    <w:p>
      <w:pPr>
        <w:jc w:val="left"/>
      </w:pPr>
      <w:r>
        <w:rPr>
          <w:sz w:val="24"/>
        </w:rPr>
        <w:t>地址：广州市府前路1号3号楼         地址：</w:t>
      </w:r>
    </w:p>
    <w:p>
      <w:pPr>
        <w:jc w:val="left"/>
      </w:pPr>
      <w:r>
        <w:rPr>
          <w:sz w:val="21"/>
        </w:rPr>
        <w:t xml:space="preserve">                   </w:t>
      </w:r>
    </w:p>
    <w:p>
      <w:pPr>
        <w:jc w:val="left"/>
      </w:pPr>
      <w:r>
        <w:rPr>
          <w:sz w:val="24"/>
        </w:rPr>
        <w:t>电话：020-83124421                 电话：</w:t>
      </w:r>
    </w:p>
    <w:p>
      <w:pPr>
        <w:jc w:val="both"/>
      </w:pPr>
      <w:r>
        <w:rPr>
          <w:sz w:val="21"/>
        </w:rPr>
        <w:t xml:space="preserve">                                                                                                          </w:t>
      </w:r>
      <w:r>
        <w:rPr>
          <w:sz w:val="24"/>
        </w:rPr>
        <w:t>年   月    日                                 年   月    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440101-2023-08904</w:t>
      </w:r>
    </w:p>
    <w:p>
      <w:pPr>
        <w:jc w:val="center"/>
      </w:pPr>
      <w:r>
        <w:rPr>
          <w:b/>
          <w:sz w:val="24"/>
        </w:rPr>
        <w:t>采购项目编号：</w:t>
      </w:r>
      <w:r>
        <w:rPr>
          <w:b/>
          <w:sz w:val="24"/>
        </w:rPr>
        <w:t>SJ2023GZZC0040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中量工程咨询有限公司</w:t>
      </w:r>
    </w:p>
    <w:p>
      <w:pPr>
        <w:ind w:firstLine="480"/>
      </w:pPr>
      <w:r>
        <w:rPr/>
        <w:t>你方组织的</w:t>
      </w:r>
      <w:r>
        <w:rPr>
          <w:u w:val="single"/>
        </w:rPr>
        <w:t>“</w:t>
      </w:r>
      <w:r>
        <w:rPr>
          <w:u w:val="single"/>
        </w:rPr>
        <w:t>基于完整居住社区的全生命周期科学治理体系研究</w:t>
      </w:r>
      <w:r>
        <w:rPr>
          <w:u w:val="single"/>
        </w:rPr>
        <w:t>”</w:t>
      </w:r>
      <w:r>
        <w:rPr/>
        <w:t>项目的招标[采购项目编号为：</w:t>
      </w:r>
      <w:r>
        <w:rPr>
          <w:u w:val="single"/>
        </w:rPr>
        <w:t>SJ2023GZZC0040</w:t>
      </w:r>
      <w:r>
        <w:rPr/>
        <w:t>]，我方愿参与投标。</w:t>
      </w:r>
    </w:p>
    <w:p>
      <w:pPr>
        <w:ind w:firstLine="480"/>
      </w:pPr>
      <w:r>
        <w:rPr/>
        <w:t>我方确认收到贵方提供的</w:t>
      </w:r>
      <w:r>
        <w:rPr>
          <w:u w:val="single"/>
        </w:rPr>
        <w:t>“</w:t>
      </w:r>
      <w:r>
        <w:rPr>
          <w:u w:val="single"/>
        </w:rPr>
        <w:t>基于完整居住社区的全生命周期科学治理体系研究</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中量工程咨询有限公司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基于完整居住社区的全生命周期科学治理体系研究</w:t>
      </w:r>
      <w:r>
        <w:rPr/>
        <w:t>”项目采购[采购项目编号为</w:t>
      </w:r>
      <w:r>
        <w:rPr/>
        <w:t>SJ2023GZZC0040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广州市住房和城乡建设局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中量工程咨询有限公司</w:t>
      </w:r>
    </w:p>
    <w:p>
      <w:pPr>
        <w:ind w:firstLine="480"/>
      </w:pPr>
      <w:r>
        <w:rPr/>
        <w:t>如果我方在贵采购代理机构组织的</w:t>
      </w:r>
      <w:r>
        <w:rPr/>
        <w:t>基于完整居住社区的全生命周期科学治理体系研究</w:t>
      </w:r>
      <w:r>
        <w:rPr/>
        <w:t>招标中获中标（采购项目编号：</w:t>
      </w:r>
      <w:r>
        <w:rPr/>
        <w:t>SJ2023GZZC0040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中量工程咨询有限公司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